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jc w:val="left"/>
      </w:pPr>
      <w:r>
        <w:rPr>
          <w:rFonts w:ascii="Noto Sans" w:hAnsi="Noto Sans"/>
          <w:b/>
          <w:color w:val="1F6F78"/>
          <w:sz w:val="18"/>
        </w:rPr>
        <w:t>ANOMALIST DESIGN LLC</w:t>
      </w:r>
    </w:p>
    <w:p>
      <w:pPr>
        <w:spacing w:after="120"/>
      </w:pPr>
      <w:r>
        <w:rPr>
          <w:rFonts w:ascii="Noto Sans" w:hAnsi="Noto Sans"/>
          <w:b/>
          <w:color w:val="17324D"/>
          <w:sz w:val="50"/>
        </w:rPr>
        <w:t>DSEARCH Base Layer</w:t>
      </w:r>
    </w:p>
    <w:p>
      <w:pPr>
        <w:spacing w:after="360"/>
      </w:pPr>
      <w:r>
        <w:rPr>
          <w:rFonts w:ascii="Noto Sans" w:hAnsi="Noto Sans"/>
          <w:color w:val="5D6770"/>
          <w:sz w:val="24"/>
        </w:rPr>
        <w:t>Technical Description and First Funded Engineering Tranche</w:t>
      </w:r>
    </w:p>
    <w:tbl>
      <w:tblPr>
        <w:tblW w:type="auto" w:w="0"/>
        <w:tblLook w:firstColumn="1" w:firstRow="1" w:lastColumn="0" w:lastRow="0" w:noHBand="0" w:noVBand="1" w:val="04A0"/>
      </w:tblPr>
      <w:tblGrid>
        <w:gridCol w:w="9994"/>
      </w:tblGrid>
      <w:tr>
        <w:tc>
          <w:tcPr>
            <w:tcW w:type="dxa" w:w="9994"/>
            <w:shd w:fill="1F6F78"/>
          </w:tcPr>
          <w:p/>
        </w:tc>
      </w:tr>
    </w:tbl>
    <w:p>
      <w:pPr>
        <w:spacing w:after="60"/>
      </w:pPr>
    </w:p>
    <w:tbl>
      <w:tblPr>
        <w:tblW w:type="auto" w:w="0"/>
        <w:jc w:val="center"/>
        <w:tblLook w:firstColumn="1" w:firstRow="1" w:lastColumn="0" w:lastRow="0" w:noHBand="0" w:noVBand="1" w:val="04A0"/>
      </w:tblPr>
      <w:tblGrid>
        <w:gridCol w:w="9994"/>
      </w:tblGrid>
      <w:tr>
        <w:tc>
          <w:tcPr>
            <w:tcW w:type="dxa" w:w="9994"/>
            <w:shd w:fill="FFF6E8"/>
            <w:tcMar>
              <w:top w:w="140" w:type="dxa"/>
              <w:start w:w="180" w:type="dxa"/>
              <w:bottom w:w="140" w:type="dxa"/>
              <w:end w:w="180" w:type="dxa"/>
            </w:tcMar>
            <w:tcBorders>
              <w:top w:val="single" w:sz="6" w:color="B27A1E"/>
              <w:bottom w:val="single" w:sz="6" w:color="B27A1E"/>
              <w:start w:val="single" w:sz="6" w:color="B27A1E"/>
              <w:end w:val="single" w:sz="6" w:color="B27A1E"/>
            </w:tcBorders>
          </w:tcPr>
          <w:p>
            <w:pPr>
              <w:spacing w:before="0" w:after="80" w:line="269" w:lineRule="auto"/>
            </w:pPr>
            <w:r>
              <w:rPr>
                <w:rFonts w:ascii="Noto Sans" w:hAnsi="Noto Sans"/>
                <w:b/>
                <w:color w:val="17324D"/>
                <w:sz w:val="21"/>
              </w:rPr>
              <w:t>RELATIONSHIP TO THE FUNDING SUMMARY</w:t>
            </w:r>
          </w:p>
          <w:p>
            <w:pPr>
              <w:spacing w:before="0" w:after="0" w:line="259" w:lineRule="auto"/>
            </w:pPr>
            <w:r>
              <w:rPr>
                <w:rFonts w:ascii="Noto Sans" w:hAnsi="Noto Sans"/>
                <w:color w:val="1B1F23"/>
                <w:sz w:val="19"/>
              </w:rPr>
              <w:t>This Technical Description accompanies the DSEARCH Funding Summary and Funder Acknowledgment. The two documents should be read together. The funding summary states the commercial and accountability terms; this document defines the technical program, evidence basis, milestones, acceptance criteria, risks, and deliverables being funded. A funder signing the funding agreement should be fully aware of this technical description before execution.</w:t>
            </w:r>
          </w:p>
        </w:tc>
      </w:tr>
    </w:tbl>
    <w:p>
      <w:pPr>
        <w:spacing w:after="20"/>
      </w:pPr>
    </w:p>
    <w:p>
      <w:pPr>
        <w:pStyle w:val="Heading1"/>
        <w:spacing w:before="240" w:after="100"/>
      </w:pPr>
      <w:r>
        <w:rPr>
          <w:rFonts w:ascii="Noto Sans" w:hAnsi="Noto Sans"/>
          <w:b/>
          <w:color w:val="17324D"/>
          <w:sz w:val="32"/>
        </w:rPr>
        <w:t>1. Executive Technical Position</w:t>
      </w:r>
    </w:p>
    <w:p>
      <w:pPr>
        <w:spacing w:before="0" w:after="120" w:line="269" w:lineRule="auto"/>
      </w:pPr>
      <w:r>
        <w:rPr>
          <w:rFonts w:ascii="Noto Sans" w:hAnsi="Noto Sans"/>
          <w:b w:val="0"/>
          <w:i w:val="0"/>
          <w:color w:val="1B1F23"/>
          <w:sz w:val="21"/>
        </w:rPr>
        <w:t>DSEARCH is intended to provide a neutral Base Layer for distributed search. The Base Layer does not attempt to own the crawler, universal index, relay network, ranking engine, user interface, AI consumer, economic system, or trust policy. Its purpose is to define common semantics and evidence contracts beneath those components so that materially different systems can interoperate without one implementation becoming the authority that defines the commons.</w:t>
      </w:r>
    </w:p>
    <w:p>
      <w:pPr>
        <w:spacing w:before="0" w:after="120" w:line="269" w:lineRule="auto"/>
      </w:pPr>
      <w:r>
        <w:rPr>
          <w:rFonts w:ascii="Noto Sans" w:hAnsi="Noto Sans"/>
          <w:b w:val="0"/>
          <w:i w:val="0"/>
          <w:color w:val="1B1F23"/>
          <w:sz w:val="21"/>
        </w:rPr>
        <w:t>The foundational phase was completed without a dedicated DSEARCH funding tranche. Its purpose was to determine whether the hardest architectural questions could be reduced to testable contracts rather than remaining architectural aspirations. That threshold has now been reached.</w:t>
      </w:r>
    </w:p>
    <w:p>
      <w:pPr>
        <w:spacing w:before="0" w:after="120" w:line="269" w:lineRule="auto"/>
      </w:pPr>
      <w:r>
        <w:rPr>
          <w:rFonts w:ascii="Noto Sans" w:hAnsi="Noto Sans"/>
          <w:b w:val="0"/>
          <w:i w:val="0"/>
          <w:color w:val="1B1F23"/>
          <w:sz w:val="21"/>
        </w:rPr>
        <w:t>Observation and identity, and replication and recovery, have reached bounded contracts with executable implementation evidence. Coverage and distribution, independence and diversity, and Sybil/poisoning evidence have reached the pre-funding research threshold through comparative pressure. The remaining questions are bounded engineering, conformance, integration, and adversarial-testing problems.</w:t>
      </w:r>
    </w:p>
    <w:p>
      <w:pPr>
        <w:pStyle w:val="Heading1"/>
        <w:spacing w:before="240" w:after="100"/>
      </w:pPr>
      <w:r>
        <w:rPr>
          <w:rFonts w:ascii="Noto Sans" w:hAnsi="Noto Sans"/>
          <w:b/>
          <w:color w:val="17324D"/>
          <w:sz w:val="32"/>
        </w:rPr>
        <w:t>2. Architectural Boundaries</w:t>
      </w:r>
    </w:p>
    <w:p>
      <w:pPr>
        <w:pStyle w:val="ListBullet"/>
        <w:spacing w:after="60" w:line="259" w:lineRule="auto"/>
      </w:pPr>
      <w:r>
        <w:rPr>
          <w:rFonts w:ascii="Noto Sans" w:hAnsi="Noto Sans"/>
          <w:color w:val="1B1F23"/>
          <w:sz w:val="20"/>
        </w:rPr>
        <w:t>Publication is distinct from replication.</w:t>
      </w:r>
    </w:p>
    <w:p>
      <w:pPr>
        <w:pStyle w:val="ListBullet"/>
        <w:spacing w:after="60" w:line="259" w:lineRule="auto"/>
      </w:pPr>
      <w:r>
        <w:rPr>
          <w:rFonts w:ascii="Noto Sans" w:hAnsi="Noto Sans"/>
          <w:color w:val="1B1F23"/>
          <w:sz w:val="20"/>
        </w:rPr>
        <w:t>A count of public keys or peers is distinct from a count of independently controlled observers.</w:t>
      </w:r>
    </w:p>
    <w:p>
      <w:pPr>
        <w:pStyle w:val="ListBullet"/>
        <w:spacing w:after="60" w:line="259" w:lineRule="auto"/>
      </w:pPr>
      <w:r>
        <w:rPr>
          <w:rFonts w:ascii="Noto Sans" w:hAnsi="Noto Sans"/>
          <w:color w:val="1B1F23"/>
          <w:sz w:val="20"/>
        </w:rPr>
        <w:t>A valid signature establishes provenance or authorization, not truth.</w:t>
      </w:r>
    </w:p>
    <w:p>
      <w:pPr>
        <w:pStyle w:val="ListBullet"/>
        <w:spacing w:after="60" w:line="259" w:lineRule="auto"/>
      </w:pPr>
      <w:r>
        <w:rPr>
          <w:rFonts w:ascii="Noto Sans" w:hAnsi="Noto Sans"/>
          <w:color w:val="1B1F23"/>
          <w:sz w:val="20"/>
        </w:rPr>
        <w:t>Successful retrieval establishes availability at a point in time, not currentness, canonicality, or truth.</w:t>
      </w:r>
    </w:p>
    <w:p>
      <w:pPr>
        <w:pStyle w:val="ListBullet"/>
        <w:spacing w:after="60" w:line="259" w:lineRule="auto"/>
      </w:pPr>
      <w:r>
        <w:rPr>
          <w:rFonts w:ascii="Noto Sans" w:hAnsi="Noto Sans"/>
          <w:color w:val="1B1F23"/>
          <w:sz w:val="20"/>
        </w:rPr>
        <w:t>Resource identity, content identity, and observation identity are distinct.</w:t>
      </w:r>
    </w:p>
    <w:p>
      <w:pPr>
        <w:pStyle w:val="ListBullet"/>
        <w:spacing w:after="60" w:line="259" w:lineRule="auto"/>
      </w:pPr>
      <w:r>
        <w:rPr>
          <w:rFonts w:ascii="Noto Sans" w:hAnsi="Noto Sans"/>
          <w:color w:val="1B1F23"/>
          <w:sz w:val="20"/>
        </w:rPr>
        <w:t>Observer identity, signing key, operator, host, account, and relay are distinct roles or identifiers.</w:t>
      </w:r>
    </w:p>
    <w:p>
      <w:pPr>
        <w:pStyle w:val="ListBullet"/>
        <w:spacing w:after="60" w:line="259" w:lineRule="auto"/>
      </w:pPr>
      <w:r>
        <w:rPr>
          <w:rFonts w:ascii="Noto Sans" w:hAnsi="Noto Sans"/>
          <w:color w:val="1B1F23"/>
          <w:sz w:val="20"/>
        </w:rPr>
        <w:t>Ranking, reputation, funding, moderation, and admission policy remain downstream of Base-Layer evidence.</w:t>
      </w:r>
    </w:p>
    <w:p>
      <w:pPr>
        <w:pStyle w:val="ListBullet"/>
        <w:spacing w:after="60" w:line="259" w:lineRule="auto"/>
      </w:pPr>
      <w:r>
        <w:rPr>
          <w:rFonts w:ascii="Noto Sans" w:hAnsi="Noto Sans"/>
          <w:color w:val="1B1F23"/>
          <w:sz w:val="20"/>
        </w:rPr>
        <w:t>Implementation evidence is evidence of conformance, not semantic authority.</w:t>
      </w:r>
    </w:p>
    <w:p>
      <w:pPr>
        <w:pStyle w:val="ListBullet"/>
        <w:spacing w:after="60" w:line="259" w:lineRule="auto"/>
      </w:pPr>
      <w:r>
        <w:rPr>
          <w:rFonts w:ascii="Noto Sans" w:hAnsi="Noto Sans"/>
          <w:color w:val="1B1F23"/>
          <w:sz w:val="20"/>
        </w:rPr>
        <w:t>The Base Layer should remain replaceable across transports, storage systems, cryptographic profiles, and implementations.</w:t>
      </w:r>
    </w:p>
    <w:p>
      <w:pPr>
        <w:pStyle w:val="Heading1"/>
        <w:spacing w:before="240" w:after="100"/>
      </w:pPr>
      <w:r>
        <w:rPr>
          <w:rFonts w:ascii="Noto Sans" w:hAnsi="Noto Sans"/>
          <w:b/>
          <w:color w:val="17324D"/>
          <w:sz w:val="32"/>
        </w:rPr>
        <w:t>3. Research Method</w:t>
      </w:r>
    </w:p>
    <w:p>
      <w:pPr>
        <w:spacing w:before="0" w:after="120" w:line="269" w:lineRule="auto"/>
      </w:pPr>
      <w:r>
        <w:rPr>
          <w:rFonts w:ascii="Noto Sans" w:hAnsi="Noto Sans"/>
          <w:b w:val="0"/>
          <w:i w:val="0"/>
          <w:color w:val="1B1F23"/>
          <w:sz w:val="21"/>
        </w:rPr>
        <w:t>The development method is comparative and evidence-oriented. Existing systems are used to identify distinctions that survive materially different designs. Those distinctions are expressed as candidate contracts and discriminating vectors. The vectors are then exercised against one or more implementations or comparative profiles. The result is adjudicated without automatically turning the first successful implementation into the protocol.</w:t>
      </w:r>
    </w:p>
    <w:tbl>
      <w:tblPr>
        <w:tblW w:type="auto" w:w="0"/>
        <w:jc w:val="center"/>
        <w:tblLook w:firstColumn="1" w:firstRow="1" w:lastColumn="0" w:lastRow="0" w:noHBand="0" w:noVBand="1" w:val="04A0"/>
      </w:tblPr>
      <w:tblGrid>
        <w:gridCol w:w="9994"/>
      </w:tblGrid>
      <w:tr>
        <w:tc>
          <w:tcPr>
            <w:tcW w:type="dxa" w:w="9994"/>
            <w:shd w:fill="F3F5F6"/>
            <w:tcMar>
              <w:top w:w="100" w:type="dxa"/>
              <w:start w:w="140" w:type="dxa"/>
              <w:bottom w:w="100" w:type="dxa"/>
              <w:end w:w="140" w:type="dxa"/>
            </w:tcMar>
          </w:tcPr>
          <w:p>
            <w:pPr>
              <w:spacing w:before="0" w:after="0" w:line="240" w:lineRule="auto"/>
            </w:pPr>
            <w:r>
              <w:rPr>
                <w:rFonts w:ascii="DejaVu Sans Mono" w:hAnsi="DejaVu Sans Mono"/>
                <w:color w:val="1B1F23"/>
                <w:sz w:val="17"/>
              </w:rPr>
              <w:t>contract</w:t>
              <w:br/>
            </w:r>
            <w:r>
              <w:rPr>
                <w:rFonts w:ascii="DejaVu Sans Mono" w:hAnsi="DejaVu Sans Mono"/>
                <w:color w:val="1B1F23"/>
                <w:sz w:val="17"/>
              </w:rPr>
              <w:t xml:space="preserve">    ↓</w:t>
              <w:br/>
            </w:r>
            <w:r>
              <w:rPr>
                <w:rFonts w:ascii="DejaVu Sans Mono" w:hAnsi="DejaVu Sans Mono"/>
                <w:color w:val="1B1F23"/>
                <w:sz w:val="17"/>
              </w:rPr>
              <w:t>discriminating vector</w:t>
              <w:br/>
            </w:r>
            <w:r>
              <w:rPr>
                <w:rFonts w:ascii="DejaVu Sans Mono" w:hAnsi="DejaVu Sans Mono"/>
                <w:color w:val="1B1F23"/>
                <w:sz w:val="17"/>
              </w:rPr>
              <w:t xml:space="preserve">    ↓</w:t>
              <w:br/>
            </w:r>
            <w:r>
              <w:rPr>
                <w:rFonts w:ascii="DejaVu Sans Mono" w:hAnsi="DejaVu Sans Mono"/>
                <w:color w:val="1B1F23"/>
                <w:sz w:val="17"/>
              </w:rPr>
              <w:t>implementation / comparative evidence</w:t>
              <w:br/>
            </w:r>
            <w:r>
              <w:rPr>
                <w:rFonts w:ascii="DejaVu Sans Mono" w:hAnsi="DejaVu Sans Mono"/>
                <w:color w:val="1B1F23"/>
                <w:sz w:val="17"/>
              </w:rPr>
              <w:t xml:space="preserve">    ↓</w:t>
              <w:br/>
            </w:r>
            <w:r>
              <w:rPr>
                <w:rFonts w:ascii="DejaVu Sans Mono" w:hAnsi="DejaVu Sans Mono"/>
                <w:color w:val="1B1F23"/>
                <w:sz w:val="17"/>
              </w:rPr>
              <w:t>adjudication</w:t>
              <w:br/>
            </w:r>
            <w:r>
              <w:rPr>
                <w:rFonts w:ascii="DejaVu Sans Mono" w:hAnsi="DejaVu Sans Mono"/>
                <w:color w:val="1B1F23"/>
                <w:sz w:val="17"/>
              </w:rPr>
              <w:t xml:space="preserve">    ↓</w:t>
              <w:br/>
            </w:r>
            <w:r>
              <w:rPr>
                <w:rFonts w:ascii="DejaVu Sans Mono" w:hAnsi="DejaVu Sans Mono"/>
                <w:color w:val="1B1F23"/>
                <w:sz w:val="17"/>
              </w:rPr>
              <w:t>bounded contract or bounded hardening item</w:t>
            </w:r>
          </w:p>
        </w:tc>
      </w:tr>
    </w:tbl>
    <w:p>
      <w:pPr>
        <w:spacing w:after="20"/>
      </w:pPr>
    </w:p>
    <w:p>
      <w:pPr>
        <w:pStyle w:val="Heading1"/>
        <w:spacing w:before="240" w:after="100"/>
      </w:pPr>
      <w:r>
        <w:rPr>
          <w:rFonts w:ascii="Noto Sans" w:hAnsi="Noto Sans"/>
          <w:b/>
          <w:color w:val="17324D"/>
          <w:sz w:val="32"/>
        </w:rPr>
        <w:t>4. Observation and Identity</w:t>
      </w:r>
    </w:p>
    <w:p>
      <w:pPr>
        <w:spacing w:before="0" w:after="120" w:line="269" w:lineRule="auto"/>
      </w:pPr>
      <w:r>
        <w:rPr>
          <w:rFonts w:ascii="Noto Sans" w:hAnsi="Noto Sans"/>
          <w:b w:val="0"/>
          <w:i w:val="0"/>
          <w:color w:val="1B1F23"/>
          <w:sz w:val="21"/>
        </w:rPr>
        <w:t>Observation and identity have reached a bounded Base-Layer contract. An observation can carry a durable observer identity while allowing signing keys to rotate. Historical observations can remain independently reverifiable from retained public evidence. Authorization is represented separately from identifier ownership or possession of a signing key. Native identifiers supplied by implementations can be retained without becoming DSEARCH's universal identity model.</w:t>
      </w:r>
    </w:p>
    <w:p>
      <w:pPr>
        <w:spacing w:before="0" w:after="120" w:line="269" w:lineRule="auto"/>
      </w:pPr>
      <w:r>
        <w:rPr>
          <w:rFonts w:ascii="Noto Sans" w:hAnsi="Noto Sans"/>
          <w:b w:val="0"/>
          <w:i w:val="0"/>
          <w:color w:val="1B1F23"/>
          <w:sz w:val="21"/>
        </w:rPr>
        <w:t>The research also qualified more sophisticated provenance approaches, including KERI and related techniques, without making them mandatory. A simpler cryptographic profile can satisfy the same Base properties. The contract therefore remains above the specific cryptographic mechanism.</w:t>
      </w:r>
    </w:p>
    <w:p>
      <w:pPr>
        <w:pStyle w:val="Heading1"/>
        <w:spacing w:before="240" w:after="100"/>
      </w:pPr>
      <w:r>
        <w:rPr>
          <w:rFonts w:ascii="Noto Sans" w:hAnsi="Noto Sans"/>
          <w:b/>
          <w:color w:val="17324D"/>
          <w:sz w:val="32"/>
        </w:rPr>
        <w:t>5. Replication and Recovery</w:t>
      </w:r>
    </w:p>
    <w:p>
      <w:pPr>
        <w:spacing w:before="0" w:after="120" w:line="269" w:lineRule="auto"/>
      </w:pPr>
      <w:r>
        <w:rPr>
          <w:rFonts w:ascii="Noto Sans" w:hAnsi="Noto Sans"/>
          <w:b w:val="0"/>
          <w:i w:val="0"/>
          <w:color w:val="1B1F23"/>
          <w:sz w:val="21"/>
        </w:rPr>
        <w:t>Replication and recovery have reached a bounded contract and executable conformance stage. Publication, relay acceptance, replica possession, later availability, recovery, integrity, transition, and currentness are represented separately.</w:t>
      </w:r>
    </w:p>
    <w:p>
      <w:pPr>
        <w:spacing w:before="0" w:after="120" w:line="269" w:lineRule="auto"/>
      </w:pPr>
      <w:r>
        <w:rPr>
          <w:rFonts w:ascii="Noto Sans" w:hAnsi="Noto Sans"/>
          <w:b w:val="0"/>
          <w:i w:val="0"/>
          <w:color w:val="1B1F23"/>
          <w:sz w:val="21"/>
        </w:rPr>
        <w:t>The same common semantics have been exercised through materially different implementation profiles, including a deliberately simple storage implementation and a separate process-and-network implementation. The significance is not merely that each implementation worked, but that they could differ while satisfying the same contract.</w:t>
      </w:r>
    </w:p>
    <w:p>
      <w:pPr>
        <w:spacing w:before="0" w:after="120" w:line="269" w:lineRule="auto"/>
      </w:pPr>
      <w:r>
        <w:rPr>
          <w:rFonts w:ascii="Noto Sans" w:hAnsi="Noto Sans"/>
          <w:b w:val="0"/>
          <w:i w:val="0"/>
          <w:color w:val="1B1F23"/>
          <w:sz w:val="21"/>
        </w:rPr>
        <w:t>The resulting model supports verified possession at a particular time, recovery after an originating source disappears, explicit integrity failure, preservation of conflicting valid states, verification before promotion or handoff, and historical replication evidence without confusing it with current possession or availability.</w:t>
      </w:r>
    </w:p>
    <w:p>
      <w:pPr>
        <w:pStyle w:val="Heading2"/>
        <w:spacing w:before="160" w:after="100"/>
      </w:pPr>
      <w:r>
        <w:rPr>
          <w:rFonts w:ascii="Noto Sans" w:hAnsi="Noto Sans"/>
          <w:b/>
          <w:color w:val="17324D"/>
          <w:sz w:val="26"/>
        </w:rPr>
        <w:t>6. Worked Example — Recovery Without the Origin</w:t>
      </w:r>
    </w:p>
    <w:p>
      <w:pPr>
        <w:spacing w:before="0" w:after="120" w:line="269" w:lineRule="auto"/>
      </w:pPr>
      <w:r>
        <w:rPr>
          <w:rFonts w:ascii="Noto Sans" w:hAnsi="Noto Sans"/>
          <w:b w:val="0"/>
          <w:i w:val="0"/>
          <w:color w:val="1B1F23"/>
          <w:sz w:val="21"/>
        </w:rPr>
        <w:t>One actual replication conformance case is VALID_RECOVERY_WITHOUT_ORIGIN. The semantic test requires that the originating copy no longer be available, recovery occur from retained replica material, and the recovered content be independently reverified.</w:t>
      </w:r>
    </w:p>
    <w:tbl>
      <w:tblPr>
        <w:tblW w:type="auto" w:w="0"/>
        <w:jc w:val="center"/>
        <w:tblLook w:firstColumn="1" w:firstRow="1" w:lastColumn="0" w:lastRow="0" w:noHBand="0" w:noVBand="1" w:val="04A0"/>
      </w:tblPr>
      <w:tblGrid>
        <w:gridCol w:w="9994"/>
      </w:tblGrid>
      <w:tr>
        <w:tc>
          <w:tcPr>
            <w:tcW w:type="dxa" w:w="9994"/>
            <w:shd w:fill="F3F5F6"/>
            <w:tcMar>
              <w:top w:w="100" w:type="dxa"/>
              <w:start w:w="140" w:type="dxa"/>
              <w:bottom w:w="100" w:type="dxa"/>
              <w:end w:w="140" w:type="dxa"/>
            </w:tcMar>
          </w:tcPr>
          <w:p>
            <w:pPr>
              <w:spacing w:before="0" w:after="0" w:line="240" w:lineRule="auto"/>
            </w:pPr>
            <w:r>
              <w:rPr>
                <w:rFonts w:ascii="DejaVu Sans Mono" w:hAnsi="DejaVu Sans Mono"/>
                <w:color w:val="1B1F23"/>
                <w:sz w:val="17"/>
              </w:rPr>
              <w:t>classification:</w:t>
              <w:br/>
            </w:r>
            <w:r>
              <w:rPr>
                <w:rFonts w:ascii="DejaVu Sans Mono" w:hAnsi="DejaVu Sans Mono"/>
                <w:color w:val="1B1F23"/>
                <w:sz w:val="17"/>
              </w:rPr>
              <w:t xml:space="preserve">    VALID_RECOVERY_WITHOUT_ORIGIN</w:t>
              <w:br/>
            </w:r>
            <w:r>
              <w:rPr>
                <w:rFonts w:ascii="DejaVu Sans Mono" w:hAnsi="DejaVu Sans Mono"/>
                <w:color w:val="1B1F23"/>
                <w:sz w:val="17"/>
              </w:rPr>
              <w:br/>
            </w:r>
            <w:r>
              <w:rPr>
                <w:rFonts w:ascii="DejaVu Sans Mono" w:hAnsi="DejaVu Sans Mono"/>
                <w:color w:val="1B1F23"/>
                <w:sz w:val="17"/>
              </w:rPr>
              <w:t>required_conditions:</w:t>
              <w:br/>
            </w:r>
            <w:r>
              <w:rPr>
                <w:rFonts w:ascii="DejaVu Sans Mono" w:hAnsi="DejaVu Sans Mono"/>
                <w:color w:val="1B1F23"/>
                <w:sz w:val="17"/>
              </w:rPr>
              <w:t xml:space="preserve">    origin unavailable before recovery</w:t>
              <w:br/>
            </w:r>
            <w:r>
              <w:rPr>
                <w:rFonts w:ascii="DejaVu Sans Mono" w:hAnsi="DejaVu Sans Mono"/>
                <w:color w:val="1B1F23"/>
                <w:sz w:val="17"/>
              </w:rPr>
              <w:t xml:space="preserve">    recovery performed from replica material</w:t>
              <w:br/>
            </w:r>
            <w:r>
              <w:rPr>
                <w:rFonts w:ascii="DejaVu Sans Mono" w:hAnsi="DejaVu Sans Mono"/>
                <w:color w:val="1B1F23"/>
                <w:sz w:val="17"/>
              </w:rPr>
              <w:t xml:space="preserve">    recovered content independently reverified</w:t>
            </w:r>
          </w:p>
        </w:tc>
      </w:tr>
    </w:tbl>
    <w:p>
      <w:pPr>
        <w:spacing w:after="20"/>
      </w:pPr>
    </w:p>
    <w:p>
      <w:pPr>
        <w:spacing w:before="0" w:after="120" w:line="269" w:lineRule="auto"/>
      </w:pPr>
      <w:r>
        <w:rPr>
          <w:rFonts w:ascii="Noto Sans" w:hAnsi="Noto Sans"/>
          <w:b w:val="0"/>
          <w:i w:val="0"/>
          <w:color w:val="1B1F23"/>
          <w:sz w:val="21"/>
        </w:rPr>
        <w:t>A simple implementation exercised those conditions using local storage. A materially different process-and-network implementation exercised the same semantic case after termination of the originating process and removal of its origin data, recovering through a separate process and transport path and reverifying the resulting material. The implementation mechanisms differed; the semantic result did not.</w:t>
      </w:r>
    </w:p>
    <w:p>
      <w:pPr>
        <w:pStyle w:val="Heading1"/>
        <w:spacing w:before="240" w:after="100"/>
      </w:pPr>
      <w:r>
        <w:rPr>
          <w:rFonts w:ascii="Noto Sans" w:hAnsi="Noto Sans"/>
          <w:b/>
          <w:color w:val="17324D"/>
          <w:sz w:val="32"/>
        </w:rPr>
        <w:t>7. Coverage and Distribution</w:t>
      </w:r>
    </w:p>
    <w:p>
      <w:pPr>
        <w:spacing w:before="0" w:after="120" w:line="269" w:lineRule="auto"/>
      </w:pPr>
      <w:r>
        <w:rPr>
          <w:rFonts w:ascii="Noto Sans" w:hAnsi="Noto Sans"/>
          <w:b w:val="0"/>
          <w:i w:val="0"/>
          <w:color w:val="1B1F23"/>
          <w:sz w:val="21"/>
        </w:rPr>
        <w:t>Coverage and distribution are treated separately. Coverage describes evidence about a declared search space during an observation window. Distribution describes where responsibility or searchable material is placed. A distributed index can be healthy while source coverage is incomplete; a bounded source set can be fully observed while its resulting material has little distribution.</w:t>
      </w:r>
    </w:p>
    <w:p>
      <w:pPr>
        <w:spacing w:before="0" w:after="120" w:line="269" w:lineRule="auto"/>
      </w:pPr>
      <w:r>
        <w:rPr>
          <w:rFonts w:ascii="Noto Sans" w:hAnsi="Noto Sans"/>
          <w:b w:val="0"/>
          <w:i w:val="0"/>
          <w:color w:val="1B1F23"/>
          <w:sz w:val="21"/>
        </w:rPr>
        <w:t>A representative normalized coverage record therefore retains the declared scope, observation window, collection method or profile, outcome classifications, and supporting evidence. Known gaps, overlap, policy exclusions, and staleness remain explicit.</w:t>
      </w:r>
    </w:p>
    <w:tbl>
      <w:tblPr>
        <w:tblW w:type="auto" w:w="0"/>
        <w:jc w:val="center"/>
        <w:tblLook w:firstColumn="1" w:firstRow="1" w:lastColumn="0" w:lastRow="0" w:noHBand="0" w:noVBand="1" w:val="04A0"/>
      </w:tblPr>
      <w:tblGrid>
        <w:gridCol w:w="9994"/>
      </w:tblGrid>
      <w:tr>
        <w:tc>
          <w:tcPr>
            <w:tcW w:type="dxa" w:w="9994"/>
            <w:shd w:fill="F3F5F6"/>
            <w:tcMar>
              <w:top w:w="100" w:type="dxa"/>
              <w:start w:w="140" w:type="dxa"/>
              <w:bottom w:w="100" w:type="dxa"/>
              <w:end w:w="140" w:type="dxa"/>
            </w:tcMar>
          </w:tcPr>
          <w:p>
            <w:pPr>
              <w:spacing w:before="0" w:after="0" w:line="240" w:lineRule="auto"/>
            </w:pPr>
            <w:r>
              <w:rPr>
                <w:rFonts w:ascii="DejaVu Sans Mono" w:hAnsi="DejaVu Sans Mono"/>
                <w:color w:val="1B1F23"/>
                <w:sz w:val="17"/>
              </w:rPr>
              <w:t>scope</w:t>
              <w:br/>
            </w:r>
            <w:r>
              <w:rPr>
                <w:rFonts w:ascii="DejaVu Sans Mono" w:hAnsi="DejaVu Sans Mono"/>
                <w:color w:val="1B1F23"/>
                <w:sz w:val="17"/>
              </w:rPr>
              <w:t>observation_window</w:t>
              <w:br/>
            </w:r>
            <w:r>
              <w:rPr>
                <w:rFonts w:ascii="DejaVu Sans Mono" w:hAnsi="DejaVu Sans Mono"/>
                <w:color w:val="1B1F23"/>
                <w:sz w:val="17"/>
              </w:rPr>
              <w:t>collection_method_or_profile</w:t>
              <w:br/>
            </w:r>
            <w:r>
              <w:rPr>
                <w:rFonts w:ascii="DejaVu Sans Mono" w:hAnsi="DejaVu Sans Mono"/>
                <w:color w:val="1B1F23"/>
                <w:sz w:val="17"/>
              </w:rPr>
              <w:t>outcomes</w:t>
              <w:br/>
            </w:r>
            <w:r>
              <w:rPr>
                <w:rFonts w:ascii="DejaVu Sans Mono" w:hAnsi="DejaVu Sans Mono"/>
                <w:color w:val="1B1F23"/>
                <w:sz w:val="17"/>
              </w:rPr>
              <w:t>evidence</w:t>
            </w:r>
          </w:p>
        </w:tc>
      </w:tr>
    </w:tbl>
    <w:p>
      <w:pPr>
        <w:spacing w:after="20"/>
      </w:pPr>
    </w:p>
    <w:p>
      <w:pPr>
        <w:spacing w:before="0" w:after="120" w:line="269" w:lineRule="auto"/>
      </w:pPr>
      <w:r>
        <w:rPr>
          <w:rFonts w:ascii="Noto Sans" w:hAnsi="Noto Sans"/>
          <w:b w:val="0"/>
          <w:i w:val="0"/>
          <w:color w:val="1B1F23"/>
          <w:sz w:val="21"/>
        </w:rPr>
        <w:t>One verified-handoff issue remains for funded hardening. Verified handoff means establishing that a new placement or responsible node has actually accepted and verified the required material before the former placement is treated as having safely relinquished responsibility. The architectural distinction is established; the funded task is to exercise that property through competing implementation profiles.</w:t>
      </w:r>
    </w:p>
    <w:p>
      <w:pPr>
        <w:pStyle w:val="Heading1"/>
        <w:spacing w:before="240" w:after="100"/>
      </w:pPr>
      <w:r>
        <w:rPr>
          <w:rFonts w:ascii="Noto Sans" w:hAnsi="Noto Sans"/>
          <w:b/>
          <w:color w:val="17324D"/>
          <w:sz w:val="32"/>
        </w:rPr>
        <w:t>8. Independence and Diversity</w:t>
      </w:r>
    </w:p>
    <w:p>
      <w:pPr>
        <w:spacing w:before="0" w:after="120" w:line="269" w:lineRule="auto"/>
      </w:pPr>
      <w:r>
        <w:rPr>
          <w:rFonts w:ascii="Noto Sans" w:hAnsi="Noto Sans"/>
          <w:b w:val="0"/>
          <w:i w:val="0"/>
          <w:color w:val="1B1F23"/>
          <w:sz w:val="21"/>
        </w:rPr>
        <w:t>DSEARCH represents diversity positively across dimensions rather than by counting nodes, peers, keys, or replicas. Evidence can describe operational control, infrastructure failure domains, network attachment, implementation lineage, organizational or policy relationships, and observed behavior.</w:t>
      </w:r>
    </w:p>
    <w:p>
      <w:pPr>
        <w:spacing w:before="0" w:after="120" w:line="269" w:lineRule="auto"/>
      </w:pPr>
      <w:r>
        <w:rPr>
          <w:rFonts w:ascii="Noto Sans" w:hAnsi="Noto Sans"/>
          <w:b w:val="0"/>
          <w:i w:val="0"/>
          <w:color w:val="1B1F23"/>
          <w:sz w:val="21"/>
        </w:rPr>
        <w:t>These dimensions are intentionally independent. One operator may run infrastructure in several zones. Two independently controlled operators may share a cloud provider or network failure domain. Several technical identities may be supported by evidence showing common control. These conditions are not contradictory; they describe different forms of independence.</w:t>
      </w:r>
    </w:p>
    <w:p>
      <w:pPr>
        <w:spacing w:before="0" w:after="120" w:line="269" w:lineRule="auto"/>
      </w:pPr>
      <w:r>
        <w:rPr>
          <w:rFonts w:ascii="Noto Sans" w:hAnsi="Noto Sans"/>
          <w:b w:val="0"/>
          <w:i w:val="0"/>
          <w:color w:val="1B1F23"/>
          <w:sz w:val="21"/>
        </w:rPr>
        <w:t>One funded hardening area is implementation-lineage evidence: evidence concerning whether apparently independent services or nodes are running the same implementation, build lineage, version, operational stack, or closely dependent code path. Implementation diversity does not prove operator independence, but it exposes another correlated-failure domain. The Base does not define a universal decentralization score.</w:t>
      </w:r>
    </w:p>
    <w:p>
      <w:pPr>
        <w:pStyle w:val="Heading1"/>
        <w:spacing w:before="240" w:after="100"/>
      </w:pPr>
      <w:r>
        <w:rPr>
          <w:rFonts w:ascii="Noto Sans" w:hAnsi="Noto Sans"/>
          <w:b/>
          <w:color w:val="17324D"/>
          <w:sz w:val="32"/>
        </w:rPr>
        <w:t>9. Sybil Attacks, Poisoning, and Manipulation</w:t>
      </w:r>
    </w:p>
    <w:p>
      <w:pPr>
        <w:spacing w:before="0" w:after="120" w:line="269" w:lineRule="auto"/>
      </w:pPr>
      <w:r>
        <w:rPr>
          <w:rFonts w:ascii="Noto Sans" w:hAnsi="Noto Sans"/>
          <w:b w:val="0"/>
          <w:i w:val="0"/>
          <w:color w:val="1B1F23"/>
          <w:sz w:val="21"/>
        </w:rPr>
        <w:t>The final pre-funding research area addressed identity amplification, targeted routing capture, resource flooding, content or index manipulation, provenance impersonation, false corroboration, and the limitations of behavioral detection. The central result is that DSEARCH does not require a universal reputation system in order to expose useful defensive evidence.</w:t>
      </w:r>
    </w:p>
    <w:p>
      <w:pPr>
        <w:spacing w:before="0" w:after="120" w:line="269" w:lineRule="auto"/>
      </w:pPr>
      <w:r>
        <w:rPr>
          <w:rFonts w:ascii="Noto Sans" w:hAnsi="Noto Sans"/>
          <w:b w:val="0"/>
          <w:i w:val="0"/>
          <w:color w:val="1B1F23"/>
          <w:sz w:val="21"/>
        </w:rPr>
        <w:t>Different comparative systems demonstrate different mechanisms: routing-placement constraints, routing-table concentration controls, optional computational-cost evidence, declared shared control, content-manipulation classifications, and cryptographic authorization of mutable data. These mechanisms produce different evidence and are not collapsed into one trust score.</w:t>
      </w:r>
    </w:p>
    <w:p>
      <w:pPr>
        <w:pStyle w:val="Heading2"/>
        <w:spacing w:before="160" w:after="100"/>
      </w:pPr>
      <w:r>
        <w:rPr>
          <w:rFonts w:ascii="Noto Sans" w:hAnsi="Noto Sans"/>
          <w:b/>
          <w:color w:val="17324D"/>
          <w:sz w:val="26"/>
        </w:rPr>
        <w:t>10. Worked Example — Valid Provenance Does Not Establish Trustworthy Content</w:t>
      </w:r>
    </w:p>
    <w:p>
      <w:pPr>
        <w:spacing w:before="0" w:after="120" w:line="269" w:lineRule="auto"/>
      </w:pPr>
      <w:r>
        <w:rPr>
          <w:rFonts w:ascii="Noto Sans" w:hAnsi="Noto Sans"/>
          <w:b w:val="0"/>
          <w:i w:val="0"/>
          <w:color w:val="1B1F23"/>
          <w:sz w:val="21"/>
        </w:rPr>
        <w:t>One Sybil/poisoning vector is VALID_SIGNATURE_DECEPTIVE_CONTENT. The case assumes that content carries valid provenance or authorization evidence: the signature verifies and the publication lineage is intact. A downstream search or abuse policy nevertheless has evidence that the presentation is manipulative or deceptive.</w:t>
      </w:r>
    </w:p>
    <w:tbl>
      <w:tblPr>
        <w:tblW w:type="auto" w:w="0"/>
        <w:jc w:val="center"/>
        <w:tblLook w:firstColumn="1" w:firstRow="1" w:lastColumn="0" w:lastRow="0" w:noHBand="0" w:noVBand="1" w:val="04A0"/>
      </w:tblPr>
      <w:tblGrid>
        <w:gridCol w:w="9994"/>
      </w:tblGrid>
      <w:tr>
        <w:tc>
          <w:tcPr>
            <w:tcW w:type="dxa" w:w="9994"/>
            <w:shd w:fill="F3F5F6"/>
            <w:tcMar>
              <w:top w:w="100" w:type="dxa"/>
              <w:start w:w="140" w:type="dxa"/>
              <w:bottom w:w="100" w:type="dxa"/>
              <w:end w:w="140" w:type="dxa"/>
            </w:tcMar>
          </w:tcPr>
          <w:p>
            <w:pPr>
              <w:spacing w:before="0" w:after="0" w:line="240" w:lineRule="auto"/>
            </w:pPr>
            <w:r>
              <w:rPr>
                <w:rFonts w:ascii="DejaVu Sans Mono" w:hAnsi="DejaVu Sans Mono"/>
                <w:color w:val="1B1F23"/>
                <w:sz w:val="17"/>
              </w:rPr>
              <w:t>provenance_status:</w:t>
              <w:br/>
            </w:r>
            <w:r>
              <w:rPr>
                <w:rFonts w:ascii="DejaVu Sans Mono" w:hAnsi="DejaVu Sans Mono"/>
                <w:color w:val="1B1F23"/>
                <w:sz w:val="17"/>
              </w:rPr>
              <w:t xml:space="preserve">    valid</w:t>
              <w:br/>
            </w:r>
            <w:r>
              <w:rPr>
                <w:rFonts w:ascii="DejaVu Sans Mono" w:hAnsi="DejaVu Sans Mono"/>
                <w:color w:val="1B1F23"/>
                <w:sz w:val="17"/>
              </w:rPr>
              <w:br/>
            </w:r>
            <w:r>
              <w:rPr>
                <w:rFonts w:ascii="DejaVu Sans Mono" w:hAnsi="DejaVu Sans Mono"/>
                <w:color w:val="1B1F23"/>
                <w:sz w:val="17"/>
              </w:rPr>
              <w:t>signature_status:</w:t>
              <w:br/>
            </w:r>
            <w:r>
              <w:rPr>
                <w:rFonts w:ascii="DejaVu Sans Mono" w:hAnsi="DejaVu Sans Mono"/>
                <w:color w:val="1B1F23"/>
                <w:sz w:val="17"/>
              </w:rPr>
              <w:t xml:space="preserve">    valid</w:t>
              <w:br/>
            </w:r>
            <w:r>
              <w:rPr>
                <w:rFonts w:ascii="DejaVu Sans Mono" w:hAnsi="DejaVu Sans Mono"/>
                <w:color w:val="1B1F23"/>
                <w:sz w:val="17"/>
              </w:rPr>
              <w:br/>
            </w:r>
            <w:r>
              <w:rPr>
                <w:rFonts w:ascii="DejaVu Sans Mono" w:hAnsi="DejaVu Sans Mono"/>
                <w:color w:val="1B1F23"/>
                <w:sz w:val="17"/>
              </w:rPr>
              <w:t>content_manipulation_observation:</w:t>
              <w:br/>
            </w:r>
            <w:r>
              <w:rPr>
                <w:rFonts w:ascii="DejaVu Sans Mono" w:hAnsi="DejaVu Sans Mono"/>
                <w:color w:val="1B1F23"/>
                <w:sz w:val="17"/>
              </w:rPr>
              <w:t xml:space="preserve">    present</w:t>
              <w:br/>
            </w:r>
            <w:r>
              <w:rPr>
                <w:rFonts w:ascii="DejaVu Sans Mono" w:hAnsi="DejaVu Sans Mono"/>
                <w:color w:val="1B1F23"/>
                <w:sz w:val="17"/>
              </w:rPr>
              <w:br/>
            </w:r>
            <w:r>
              <w:rPr>
                <w:rFonts w:ascii="DejaVu Sans Mono" w:hAnsi="DejaVu Sans Mono"/>
                <w:color w:val="1B1F23"/>
                <w:sz w:val="17"/>
              </w:rPr>
              <w:t>policy_assessment:</w:t>
              <w:br/>
            </w:r>
            <w:r>
              <w:rPr>
                <w:rFonts w:ascii="DejaVu Sans Mono" w:hAnsi="DejaVu Sans Mono"/>
                <w:color w:val="1B1F23"/>
                <w:sz w:val="17"/>
              </w:rPr>
              <w:t xml:space="preserve">    attributable to consuming policy</w:t>
            </w:r>
          </w:p>
        </w:tc>
      </w:tr>
    </w:tbl>
    <w:p>
      <w:pPr>
        <w:spacing w:after="20"/>
      </w:pPr>
    </w:p>
    <w:p>
      <w:pPr>
        <w:spacing w:before="0" w:after="120" w:line="269" w:lineRule="auto"/>
      </w:pPr>
      <w:r>
        <w:rPr>
          <w:rFonts w:ascii="Noto Sans" w:hAnsi="Noto Sans"/>
          <w:b w:val="0"/>
          <w:i w:val="0"/>
          <w:color w:val="1B1F23"/>
          <w:sz w:val="21"/>
        </w:rPr>
        <w:t>The Base preserves both forms of evidence. A signature can answer who authorized a publication without becoming the answer to whether the content is true, useful, non-manipulative, or deserving of high rank. This is representative of the broader DSEARCH rule that strong evidence in one dimension must not silently become authority in another.</w:t>
      </w:r>
    </w:p>
    <w:p>
      <w:pPr>
        <w:pStyle w:val="Heading1"/>
        <w:spacing w:before="240" w:after="100"/>
      </w:pPr>
      <w:r>
        <w:rPr>
          <w:rFonts w:ascii="Noto Sans" w:hAnsi="Noto Sans"/>
          <w:b/>
          <w:color w:val="17324D"/>
          <w:sz w:val="32"/>
        </w:rPr>
        <w:t>11. Sybil/Poisoning Candidate Properties</w:t>
      </w:r>
    </w:p>
    <w:tbl>
      <w:tblPr>
        <w:tblW w:type="auto" w:w="0"/>
        <w:jc w:val="center"/>
        <w:tblLook w:firstColumn="1" w:firstRow="1" w:lastColumn="0" w:lastRow="0" w:noHBand="0" w:noVBand="1" w:val="04A0"/>
      </w:tblPr>
      <w:tblGrid>
        <w:gridCol w:w="4997"/>
        <w:gridCol w:w="4997"/>
      </w:tblGrid>
      <w:tr>
        <w:tc>
          <w:tcPr>
            <w:tcW w:type="dxa" w:w="4997"/>
            <w:shd w:fill="17324D"/>
            <w:tcMar>
              <w:top w:w="100" w:type="dxa"/>
              <w:start w:w="120" w:type="dxa"/>
              <w:bottom w:w="100" w:type="dxa"/>
              <w:end w:w="120" w:type="dxa"/>
            </w:tcMar>
          </w:tcPr>
          <w:p>
            <w:r>
              <w:rPr>
                <w:rFonts w:ascii="Noto Sans" w:hAnsi="Noto Sans"/>
                <w:b/>
                <w:color w:val="FFFFFF"/>
                <w:sz w:val="18"/>
              </w:rPr>
              <w:t>Property</w:t>
            </w:r>
          </w:p>
        </w:tc>
        <w:tc>
          <w:tcPr>
            <w:tcW w:type="dxa" w:w="4997"/>
            <w:shd w:fill="17324D"/>
            <w:tcMar>
              <w:top w:w="100" w:type="dxa"/>
              <w:start w:w="120" w:type="dxa"/>
              <w:bottom w:w="100" w:type="dxa"/>
              <w:end w:w="120" w:type="dxa"/>
            </w:tcMar>
          </w:tcPr>
          <w:p>
            <w:r>
              <w:rPr>
                <w:rFonts w:ascii="Noto Sans" w:hAnsi="Noto Sans"/>
                <w:b/>
                <w:color w:val="FFFFFF"/>
                <w:sz w:val="18"/>
              </w:rPr>
              <w:t>Current status</w:t>
            </w:r>
          </w:p>
        </w:tc>
      </w:tr>
      <w:tr>
        <w:tc>
          <w:tcPr>
            <w:tcW w:type="dxa" w:w="4997"/>
            <w:tcMar>
              <w:top w:w="100" w:type="dxa"/>
              <w:start w:w="120" w:type="dxa"/>
              <w:bottom w:w="100" w:type="dxa"/>
              <w:end w:w="120" w:type="dxa"/>
            </w:tcMar>
          </w:tcPr>
          <w:p>
            <w:r>
              <w:rPr>
                <w:rFonts w:ascii="Noto Sans" w:hAnsi="Noto Sans"/>
                <w:b w:val="0"/>
                <w:color w:val="1B1F23"/>
                <w:sz w:val="17"/>
              </w:rPr>
              <w:t>Attack-relevant evidence remains separate from attack verdicts</w:t>
            </w:r>
          </w:p>
        </w:tc>
        <w:tc>
          <w:tcPr>
            <w:tcW w:type="dxa" w:w="4997"/>
            <w:tcMar>
              <w:top w:w="100" w:type="dxa"/>
              <w:start w:w="120" w:type="dxa"/>
              <w:bottom w:w="100" w:type="dxa"/>
              <w:end w:w="120" w:type="dxa"/>
            </w:tcMar>
          </w:tcPr>
          <w:p>
            <w:r>
              <w:rPr>
                <w:rFonts w:ascii="Noto Sans" w:hAnsi="Noto Sans"/>
                <w:b w:val="0"/>
                <w:color w:val="1B1F23"/>
                <w:sz w:val="17"/>
              </w:rPr>
              <w:t>Survived comparative pressure</w:t>
            </w:r>
          </w:p>
        </w:tc>
      </w:tr>
      <w:tr>
        <w:tc>
          <w:tcPr>
            <w:tcW w:type="dxa" w:w="4997"/>
            <w:tcMar>
              <w:top w:w="100" w:type="dxa"/>
              <w:start w:w="120" w:type="dxa"/>
              <w:bottom w:w="100" w:type="dxa"/>
              <w:end w:w="120" w:type="dxa"/>
            </w:tcMar>
            <w:shd w:fill="F5F7F8"/>
          </w:tcPr>
          <w:p>
            <w:r>
              <w:rPr>
                <w:rFonts w:ascii="Noto Sans" w:hAnsi="Noto Sans"/>
                <w:b w:val="0"/>
                <w:color w:val="1B1F23"/>
                <w:sz w:val="17"/>
              </w:rPr>
              <w:t>Shared-control evidence can qualify apparent identity multiplicity</w:t>
            </w:r>
          </w:p>
        </w:tc>
        <w:tc>
          <w:tcPr>
            <w:tcW w:type="dxa" w:w="4997"/>
            <w:tcMar>
              <w:top w:w="100" w:type="dxa"/>
              <w:start w:w="120" w:type="dxa"/>
              <w:bottom w:w="100" w:type="dxa"/>
              <w:end w:w="120" w:type="dxa"/>
            </w:tcMar>
            <w:shd w:fill="F5F7F8"/>
          </w:tcPr>
          <w:p>
            <w:r>
              <w:rPr>
                <w:rFonts w:ascii="Noto Sans" w:hAnsi="Noto Sans"/>
                <w:b w:val="0"/>
                <w:color w:val="1B1F23"/>
                <w:sz w:val="17"/>
              </w:rPr>
              <w:t>Survived</w:t>
            </w:r>
          </w:p>
        </w:tc>
      </w:tr>
      <w:tr>
        <w:tc>
          <w:tcPr>
            <w:tcW w:type="dxa" w:w="4997"/>
            <w:tcMar>
              <w:top w:w="100" w:type="dxa"/>
              <w:start w:w="120" w:type="dxa"/>
              <w:bottom w:w="100" w:type="dxa"/>
              <w:end w:w="120" w:type="dxa"/>
            </w:tcMar>
          </w:tcPr>
          <w:p>
            <w:r>
              <w:rPr>
                <w:rFonts w:ascii="Noto Sans" w:hAnsi="Noto Sans"/>
                <w:b w:val="0"/>
                <w:color w:val="1B1F23"/>
                <w:sz w:val="17"/>
              </w:rPr>
              <w:t>Routing and placement concentration can be represented</w:t>
            </w:r>
          </w:p>
        </w:tc>
        <w:tc>
          <w:tcPr>
            <w:tcW w:type="dxa" w:w="4997"/>
            <w:tcMar>
              <w:top w:w="100" w:type="dxa"/>
              <w:start w:w="120" w:type="dxa"/>
              <w:bottom w:w="100" w:type="dxa"/>
              <w:end w:w="120" w:type="dxa"/>
            </w:tcMar>
          </w:tcPr>
          <w:p>
            <w:r>
              <w:rPr>
                <w:rFonts w:ascii="Noto Sans" w:hAnsi="Noto Sans"/>
                <w:b w:val="0"/>
                <w:color w:val="1B1F23"/>
                <w:sz w:val="17"/>
              </w:rPr>
              <w:t>Survived</w:t>
            </w:r>
          </w:p>
        </w:tc>
      </w:tr>
      <w:tr>
        <w:tc>
          <w:tcPr>
            <w:tcW w:type="dxa" w:w="4997"/>
            <w:tcMar>
              <w:top w:w="100" w:type="dxa"/>
              <w:start w:w="120" w:type="dxa"/>
              <w:bottom w:w="100" w:type="dxa"/>
              <w:end w:w="120" w:type="dxa"/>
            </w:tcMar>
            <w:shd w:fill="F5F7F8"/>
          </w:tcPr>
          <w:p>
            <w:r>
              <w:rPr>
                <w:rFonts w:ascii="Noto Sans" w:hAnsi="Noto Sans"/>
                <w:b w:val="0"/>
                <w:color w:val="1B1F23"/>
                <w:sz w:val="17"/>
              </w:rPr>
              <w:t>Optional resource-cost evidence can be represented</w:t>
            </w:r>
          </w:p>
        </w:tc>
        <w:tc>
          <w:tcPr>
            <w:tcW w:type="dxa" w:w="4997"/>
            <w:tcMar>
              <w:top w:w="100" w:type="dxa"/>
              <w:start w:w="120" w:type="dxa"/>
              <w:bottom w:w="100" w:type="dxa"/>
              <w:end w:w="120" w:type="dxa"/>
            </w:tcMar>
            <w:shd w:fill="F5F7F8"/>
          </w:tcPr>
          <w:p>
            <w:r>
              <w:rPr>
                <w:rFonts w:ascii="Noto Sans" w:hAnsi="Noto Sans"/>
                <w:b w:val="0"/>
                <w:color w:val="1B1F23"/>
                <w:sz w:val="17"/>
              </w:rPr>
              <w:t>Survived</w:t>
            </w:r>
          </w:p>
        </w:tc>
      </w:tr>
      <w:tr>
        <w:tc>
          <w:tcPr>
            <w:tcW w:type="dxa" w:w="4997"/>
            <w:tcMar>
              <w:top w:w="100" w:type="dxa"/>
              <w:start w:w="120" w:type="dxa"/>
              <w:bottom w:w="100" w:type="dxa"/>
              <w:end w:w="120" w:type="dxa"/>
            </w:tcMar>
          </w:tcPr>
          <w:p>
            <w:r>
              <w:rPr>
                <w:rFonts w:ascii="Noto Sans" w:hAnsi="Noto Sans"/>
                <w:b w:val="0"/>
                <w:color w:val="1B1F23"/>
                <w:sz w:val="17"/>
              </w:rPr>
              <w:t>Provenance and integrity evidence remain explicit</w:t>
            </w:r>
          </w:p>
        </w:tc>
        <w:tc>
          <w:tcPr>
            <w:tcW w:type="dxa" w:w="4997"/>
            <w:tcMar>
              <w:top w:w="100" w:type="dxa"/>
              <w:start w:w="120" w:type="dxa"/>
              <w:bottom w:w="100" w:type="dxa"/>
              <w:end w:w="120" w:type="dxa"/>
            </w:tcMar>
          </w:tcPr>
          <w:p>
            <w:r>
              <w:rPr>
                <w:rFonts w:ascii="Noto Sans" w:hAnsi="Noto Sans"/>
                <w:b w:val="0"/>
                <w:color w:val="1B1F23"/>
                <w:sz w:val="17"/>
              </w:rPr>
              <w:t>Survived</w:t>
            </w:r>
          </w:p>
        </w:tc>
      </w:tr>
      <w:tr>
        <w:tc>
          <w:tcPr>
            <w:tcW w:type="dxa" w:w="4997"/>
            <w:tcMar>
              <w:top w:w="100" w:type="dxa"/>
              <w:start w:w="120" w:type="dxa"/>
              <w:bottom w:w="100" w:type="dxa"/>
              <w:end w:w="120" w:type="dxa"/>
            </w:tcMar>
            <w:shd w:fill="F5F7F8"/>
          </w:tcPr>
          <w:p>
            <w:r>
              <w:rPr>
                <w:rFonts w:ascii="Noto Sans" w:hAnsi="Noto Sans"/>
                <w:b w:val="0"/>
                <w:color w:val="1B1F23"/>
                <w:sz w:val="17"/>
              </w:rPr>
              <w:t>Rate and volume evidence</w:t>
            </w:r>
          </w:p>
        </w:tc>
        <w:tc>
          <w:tcPr>
            <w:tcW w:type="dxa" w:w="4997"/>
            <w:tcMar>
              <w:top w:w="100" w:type="dxa"/>
              <w:start w:w="120" w:type="dxa"/>
              <w:bottom w:w="100" w:type="dxa"/>
              <w:end w:w="120" w:type="dxa"/>
            </w:tcMar>
            <w:shd w:fill="F5F7F8"/>
          </w:tcPr>
          <w:p>
            <w:r>
              <w:rPr>
                <w:rFonts w:ascii="Noto Sans" w:hAnsi="Noto Sans"/>
                <w:b/>
                <w:color w:val="9A2E2E"/>
                <w:sz w:val="17"/>
              </w:rPr>
              <w:t>Needs funded hardening</w:t>
            </w:r>
          </w:p>
        </w:tc>
      </w:tr>
      <w:tr>
        <w:tc>
          <w:tcPr>
            <w:tcW w:type="dxa" w:w="4997"/>
            <w:tcMar>
              <w:top w:w="100" w:type="dxa"/>
              <w:start w:w="120" w:type="dxa"/>
              <w:bottom w:w="100" w:type="dxa"/>
              <w:end w:w="120" w:type="dxa"/>
            </w:tcMar>
          </w:tcPr>
          <w:p>
            <w:r>
              <w:rPr>
                <w:rFonts w:ascii="Noto Sans" w:hAnsi="Noto Sans"/>
                <w:b w:val="0"/>
                <w:color w:val="1B1F23"/>
                <w:sz w:val="17"/>
              </w:rPr>
              <w:t>Content-manipulation observations can be represented</w:t>
            </w:r>
          </w:p>
        </w:tc>
        <w:tc>
          <w:tcPr>
            <w:tcW w:type="dxa" w:w="4997"/>
            <w:tcMar>
              <w:top w:w="100" w:type="dxa"/>
              <w:start w:w="120" w:type="dxa"/>
              <w:bottom w:w="100" w:type="dxa"/>
              <w:end w:w="120" w:type="dxa"/>
            </w:tcMar>
          </w:tcPr>
          <w:p>
            <w:r>
              <w:rPr>
                <w:rFonts w:ascii="Noto Sans" w:hAnsi="Noto Sans"/>
                <w:b w:val="0"/>
                <w:color w:val="1B1F23"/>
                <w:sz w:val="17"/>
              </w:rPr>
              <w:t>Survived</w:t>
            </w:r>
          </w:p>
        </w:tc>
      </w:tr>
      <w:tr>
        <w:tc>
          <w:tcPr>
            <w:tcW w:type="dxa" w:w="4997"/>
            <w:tcMar>
              <w:top w:w="100" w:type="dxa"/>
              <w:start w:w="120" w:type="dxa"/>
              <w:bottom w:w="100" w:type="dxa"/>
              <w:end w:w="120" w:type="dxa"/>
            </w:tcMar>
            <w:shd w:fill="F5F7F8"/>
          </w:tcPr>
          <w:p>
            <w:r>
              <w:rPr>
                <w:rFonts w:ascii="Noto Sans" w:hAnsi="Noto Sans"/>
                <w:b w:val="0"/>
                <w:color w:val="1B1F23"/>
                <w:sz w:val="17"/>
              </w:rPr>
              <w:t>Independence of corroborating observations</w:t>
            </w:r>
          </w:p>
        </w:tc>
        <w:tc>
          <w:tcPr>
            <w:tcW w:type="dxa" w:w="4997"/>
            <w:tcMar>
              <w:top w:w="100" w:type="dxa"/>
              <w:start w:w="120" w:type="dxa"/>
              <w:bottom w:w="100" w:type="dxa"/>
              <w:end w:w="120" w:type="dxa"/>
            </w:tcMar>
            <w:shd w:fill="F5F7F8"/>
          </w:tcPr>
          <w:p>
            <w:r>
              <w:rPr>
                <w:rFonts w:ascii="Noto Sans" w:hAnsi="Noto Sans"/>
                <w:b/>
                <w:color w:val="9A2E2E"/>
                <w:sz w:val="17"/>
              </w:rPr>
              <w:t>Needs funded hardening</w:t>
            </w:r>
          </w:p>
        </w:tc>
      </w:tr>
      <w:tr>
        <w:tc>
          <w:tcPr>
            <w:tcW w:type="dxa" w:w="4997"/>
            <w:tcMar>
              <w:top w:w="100" w:type="dxa"/>
              <w:start w:w="120" w:type="dxa"/>
              <w:bottom w:w="100" w:type="dxa"/>
              <w:end w:w="120" w:type="dxa"/>
            </w:tcMar>
          </w:tcPr>
          <w:p>
            <w:r>
              <w:rPr>
                <w:rFonts w:ascii="Noto Sans" w:hAnsi="Noto Sans"/>
                <w:b w:val="0"/>
                <w:color w:val="1B1F23"/>
                <w:sz w:val="17"/>
              </w:rPr>
              <w:t>Behavioral evidence retains uncertainty</w:t>
            </w:r>
          </w:p>
        </w:tc>
        <w:tc>
          <w:tcPr>
            <w:tcW w:type="dxa" w:w="4997"/>
            <w:tcMar>
              <w:top w:w="100" w:type="dxa"/>
              <w:start w:w="120" w:type="dxa"/>
              <w:bottom w:w="100" w:type="dxa"/>
              <w:end w:w="120" w:type="dxa"/>
            </w:tcMar>
          </w:tcPr>
          <w:p>
            <w:r>
              <w:rPr>
                <w:rFonts w:ascii="Noto Sans" w:hAnsi="Noto Sans"/>
                <w:b w:val="0"/>
                <w:color w:val="1B1F23"/>
                <w:sz w:val="17"/>
              </w:rPr>
              <w:t>Survived</w:t>
            </w:r>
          </w:p>
        </w:tc>
      </w:tr>
      <w:tr>
        <w:tc>
          <w:tcPr>
            <w:tcW w:type="dxa" w:w="4997"/>
            <w:tcMar>
              <w:top w:w="100" w:type="dxa"/>
              <w:start w:w="120" w:type="dxa"/>
              <w:bottom w:w="100" w:type="dxa"/>
              <w:end w:w="120" w:type="dxa"/>
            </w:tcMar>
            <w:shd w:fill="F5F7F8"/>
          </w:tcPr>
          <w:p>
            <w:r>
              <w:rPr>
                <w:rFonts w:ascii="Noto Sans" w:hAnsi="Noto Sans"/>
                <w:b w:val="0"/>
                <w:color w:val="1B1F23"/>
                <w:sz w:val="17"/>
              </w:rPr>
              <w:t>Conflicting attack-relevant evidence can be preserved</w:t>
            </w:r>
          </w:p>
        </w:tc>
        <w:tc>
          <w:tcPr>
            <w:tcW w:type="dxa" w:w="4997"/>
            <w:tcMar>
              <w:top w:w="100" w:type="dxa"/>
              <w:start w:w="120" w:type="dxa"/>
              <w:bottom w:w="100" w:type="dxa"/>
              <w:end w:w="120" w:type="dxa"/>
            </w:tcMar>
            <w:shd w:fill="F5F7F8"/>
          </w:tcPr>
          <w:p>
            <w:r>
              <w:rPr>
                <w:rFonts w:ascii="Noto Sans" w:hAnsi="Noto Sans"/>
                <w:b w:val="0"/>
                <w:color w:val="1B1F23"/>
                <w:sz w:val="17"/>
              </w:rPr>
              <w:t>Survived</w:t>
            </w:r>
          </w:p>
        </w:tc>
      </w:tr>
      <w:tr>
        <w:tc>
          <w:tcPr>
            <w:tcW w:type="dxa" w:w="4997"/>
            <w:tcMar>
              <w:top w:w="100" w:type="dxa"/>
              <w:start w:w="120" w:type="dxa"/>
              <w:bottom w:w="100" w:type="dxa"/>
              <w:end w:w="120" w:type="dxa"/>
            </w:tcMar>
          </w:tcPr>
          <w:p>
            <w:r>
              <w:rPr>
                <w:rFonts w:ascii="Noto Sans" w:hAnsi="Noto Sans"/>
                <w:b w:val="0"/>
                <w:color w:val="1B1F23"/>
                <w:sz w:val="17"/>
              </w:rPr>
              <w:t>Risk evidence remains time-bounded</w:t>
            </w:r>
          </w:p>
        </w:tc>
        <w:tc>
          <w:tcPr>
            <w:tcW w:type="dxa" w:w="4997"/>
            <w:tcMar>
              <w:top w:w="100" w:type="dxa"/>
              <w:start w:w="120" w:type="dxa"/>
              <w:bottom w:w="100" w:type="dxa"/>
              <w:end w:w="120" w:type="dxa"/>
            </w:tcMar>
          </w:tcPr>
          <w:p>
            <w:r>
              <w:rPr>
                <w:rFonts w:ascii="Noto Sans" w:hAnsi="Noto Sans"/>
                <w:b w:val="0"/>
                <w:color w:val="1B1F23"/>
                <w:sz w:val="17"/>
              </w:rPr>
              <w:t>Survived</w:t>
            </w:r>
          </w:p>
        </w:tc>
      </w:tr>
      <w:tr>
        <w:tc>
          <w:tcPr>
            <w:tcW w:type="dxa" w:w="4997"/>
            <w:tcMar>
              <w:top w:w="100" w:type="dxa"/>
              <w:start w:w="120" w:type="dxa"/>
              <w:bottom w:w="100" w:type="dxa"/>
              <w:end w:w="120" w:type="dxa"/>
            </w:tcMar>
            <w:shd w:fill="F5F7F8"/>
          </w:tcPr>
          <w:p>
            <w:r>
              <w:rPr>
                <w:rFonts w:ascii="Noto Sans" w:hAnsi="Noto Sans"/>
                <w:b w:val="0"/>
                <w:color w:val="1B1F23"/>
                <w:sz w:val="17"/>
              </w:rPr>
              <w:t>Admission, quarantine, ranking, and filtering decisions remain attributable</w:t>
            </w:r>
          </w:p>
        </w:tc>
        <w:tc>
          <w:tcPr>
            <w:tcW w:type="dxa" w:w="4997"/>
            <w:tcMar>
              <w:top w:w="100" w:type="dxa"/>
              <w:start w:w="120" w:type="dxa"/>
              <w:bottom w:w="100" w:type="dxa"/>
              <w:end w:w="120" w:type="dxa"/>
            </w:tcMar>
            <w:shd w:fill="F5F7F8"/>
          </w:tcPr>
          <w:p>
            <w:r>
              <w:rPr>
                <w:rFonts w:ascii="Noto Sans" w:hAnsi="Noto Sans"/>
                <w:b w:val="0"/>
                <w:color w:val="1B1F23"/>
                <w:sz w:val="17"/>
              </w:rPr>
              <w:t>Survived</w:t>
            </w:r>
          </w:p>
        </w:tc>
      </w:tr>
      <w:tr>
        <w:tc>
          <w:tcPr>
            <w:tcW w:type="dxa" w:w="4997"/>
            <w:tcMar>
              <w:top w:w="100" w:type="dxa"/>
              <w:start w:w="120" w:type="dxa"/>
              <w:bottom w:w="100" w:type="dxa"/>
              <w:end w:w="120" w:type="dxa"/>
            </w:tcMar>
          </w:tcPr>
          <w:p>
            <w:r>
              <w:rPr>
                <w:rFonts w:ascii="Noto Sans" w:hAnsi="Noto Sans"/>
                <w:b w:val="0"/>
                <w:color w:val="1B1F23"/>
                <w:sz w:val="17"/>
              </w:rPr>
              <w:t>No single signal becomes universal trust authority</w:t>
            </w:r>
          </w:p>
        </w:tc>
        <w:tc>
          <w:tcPr>
            <w:tcW w:type="dxa" w:w="4997"/>
            <w:tcMar>
              <w:top w:w="100" w:type="dxa"/>
              <w:start w:w="120" w:type="dxa"/>
              <w:bottom w:w="100" w:type="dxa"/>
              <w:end w:w="120" w:type="dxa"/>
            </w:tcMar>
          </w:tcPr>
          <w:p>
            <w:r>
              <w:rPr>
                <w:rFonts w:ascii="Noto Sans" w:hAnsi="Noto Sans"/>
                <w:b w:val="0"/>
                <w:color w:val="1B1F23"/>
                <w:sz w:val="17"/>
              </w:rPr>
              <w:t>Survived</w:t>
            </w:r>
          </w:p>
        </w:tc>
      </w:tr>
      <w:tr>
        <w:tc>
          <w:tcPr>
            <w:tcW w:type="dxa" w:w="4997"/>
            <w:tcMar>
              <w:top w:w="100" w:type="dxa"/>
              <w:start w:w="120" w:type="dxa"/>
              <w:bottom w:w="100" w:type="dxa"/>
              <w:end w:w="120" w:type="dxa"/>
            </w:tcMar>
            <w:shd w:fill="F5F7F8"/>
          </w:tcPr>
          <w:p>
            <w:r>
              <w:rPr>
                <w:rFonts w:ascii="Noto Sans" w:hAnsi="Noto Sans"/>
                <w:b w:val="0"/>
                <w:color w:val="1B1F23"/>
                <w:sz w:val="17"/>
              </w:rPr>
              <w:t>Independent consumers may apply different policies</w:t>
            </w:r>
          </w:p>
        </w:tc>
        <w:tc>
          <w:tcPr>
            <w:tcW w:type="dxa" w:w="4997"/>
            <w:tcMar>
              <w:top w:w="100" w:type="dxa"/>
              <w:start w:w="120" w:type="dxa"/>
              <w:bottom w:w="100" w:type="dxa"/>
              <w:end w:w="120" w:type="dxa"/>
            </w:tcMar>
            <w:shd w:fill="F5F7F8"/>
          </w:tcPr>
          <w:p>
            <w:r>
              <w:rPr>
                <w:rFonts w:ascii="Noto Sans" w:hAnsi="Noto Sans"/>
                <w:b w:val="0"/>
                <w:color w:val="1B1F23"/>
                <w:sz w:val="17"/>
              </w:rPr>
              <w:t>Survived</w:t>
            </w:r>
          </w:p>
        </w:tc>
      </w:tr>
      <w:tr>
        <w:tc>
          <w:tcPr>
            <w:tcW w:type="dxa" w:w="4997"/>
            <w:tcMar>
              <w:top w:w="100" w:type="dxa"/>
              <w:start w:w="120" w:type="dxa"/>
              <w:bottom w:w="100" w:type="dxa"/>
              <w:end w:w="120" w:type="dxa"/>
            </w:tcMar>
          </w:tcPr>
          <w:p>
            <w:r>
              <w:rPr>
                <w:rFonts w:ascii="Noto Sans" w:hAnsi="Noto Sans"/>
                <w:b w:val="0"/>
                <w:color w:val="1B1F23"/>
                <w:sz w:val="17"/>
              </w:rPr>
              <w:t>Replication remains separate from judgments about poisoned-content quality</w:t>
            </w:r>
          </w:p>
        </w:tc>
        <w:tc>
          <w:tcPr>
            <w:tcW w:type="dxa" w:w="4997"/>
            <w:tcMar>
              <w:top w:w="100" w:type="dxa"/>
              <w:start w:w="120" w:type="dxa"/>
              <w:bottom w:w="100" w:type="dxa"/>
              <w:end w:w="120" w:type="dxa"/>
            </w:tcMar>
          </w:tcPr>
          <w:p>
            <w:r>
              <w:rPr>
                <w:rFonts w:ascii="Noto Sans" w:hAnsi="Noto Sans"/>
                <w:b w:val="0"/>
                <w:color w:val="1B1F23"/>
                <w:sz w:val="17"/>
              </w:rPr>
              <w:t>Survived</w:t>
            </w:r>
          </w:p>
        </w:tc>
      </w:tr>
    </w:tbl>
    <w:p>
      <w:pPr>
        <w:spacing w:after="40"/>
      </w:pPr>
    </w:p>
    <w:p>
      <w:pPr>
        <w:spacing w:before="0" w:after="120" w:line="269" w:lineRule="auto"/>
      </w:pPr>
      <w:r>
        <w:rPr>
          <w:rFonts w:ascii="Noto Sans" w:hAnsi="Noto Sans"/>
          <w:b w:val="0"/>
          <w:i w:val="0"/>
          <w:color w:val="1B1F23"/>
          <w:sz w:val="21"/>
        </w:rPr>
        <w:t>Rate and volume evidence requires exact observation windows, denominators, normalization among differently situated observers, and rules for comparing evidence gathered under different collection conditions.</w:t>
      </w:r>
    </w:p>
    <w:p>
      <w:pPr>
        <w:spacing w:before="0" w:after="120" w:line="269" w:lineRule="auto"/>
      </w:pPr>
      <w:r>
        <w:rPr>
          <w:rFonts w:ascii="Noto Sans" w:hAnsi="Noto Sans"/>
          <w:b w:val="0"/>
          <w:i w:val="0"/>
          <w:color w:val="1B1F23"/>
          <w:sz w:val="21"/>
        </w:rPr>
        <w:t>Corroboration independence concerns the difference between several observations agreeing and several genuinely independent observers agreeing. Funded adversarial fixtures will test how operator-control, infrastructure, network-domain, and behavioral evidence can qualify corroboration without making one universal definition of sufficient independence part of the Base Layer.</w:t>
      </w:r>
    </w:p>
    <w:p>
      <w:pPr>
        <w:pStyle w:val="Heading1"/>
        <w:spacing w:before="240" w:after="100"/>
      </w:pPr>
      <w:r>
        <w:rPr>
          <w:rFonts w:ascii="Noto Sans" w:hAnsi="Noto Sans"/>
          <w:b/>
          <w:color w:val="17324D"/>
          <w:sz w:val="32"/>
        </w:rPr>
        <w:t>12. Current Diligence Pointer</w:t>
      </w:r>
    </w:p>
    <w:p>
      <w:pPr>
        <w:spacing w:before="0" w:after="120" w:line="269" w:lineRule="auto"/>
      </w:pPr>
      <w:r>
        <w:rPr>
          <w:rFonts w:ascii="Noto Sans" w:hAnsi="Noto Sans"/>
          <w:b w:val="0"/>
          <w:i w:val="0"/>
          <w:color w:val="1B1F23"/>
          <w:sz w:val="21"/>
        </w:rPr>
        <w:t>The proposal's claims are intended to be inspectable. A representative current pre-funding baseline is the DSEARCH source commit below. The funded tranche's public source history and evidence record will be maintained at https://gitea.anomalistdesign.com/dsearch/tranche1.</w:t>
      </w:r>
    </w:p>
    <w:tbl>
      <w:tblPr>
        <w:tblW w:type="auto" w:w="0"/>
        <w:jc w:val="center"/>
        <w:tblLook w:firstColumn="1" w:firstRow="1" w:lastColumn="0" w:lastRow="0" w:noHBand="0" w:noVBand="1" w:val="04A0"/>
      </w:tblPr>
      <w:tblGrid>
        <w:gridCol w:w="9994"/>
      </w:tblGrid>
      <w:tr>
        <w:tc>
          <w:tcPr>
            <w:tcW w:type="dxa" w:w="9994"/>
            <w:shd w:fill="F3F5F6"/>
            <w:tcMar>
              <w:top w:w="100" w:type="dxa"/>
              <w:start w:w="140" w:type="dxa"/>
              <w:bottom w:w="100" w:type="dxa"/>
              <w:end w:w="140" w:type="dxa"/>
            </w:tcMar>
          </w:tcPr>
          <w:p>
            <w:pPr>
              <w:spacing w:before="0" w:after="0" w:line="240" w:lineRule="auto"/>
            </w:pPr>
            <w:r>
              <w:rPr>
                <w:rFonts w:ascii="DejaVu Sans Mono" w:hAnsi="DejaVu Sans Mono"/>
                <w:color w:val="1B1F23"/>
                <w:sz w:val="17"/>
              </w:rPr>
              <w:t>current pre-funding DSEARCH commit:</w:t>
              <w:br/>
            </w:r>
            <w:r>
              <w:rPr>
                <w:rFonts w:ascii="DejaVu Sans Mono" w:hAnsi="DejaVu Sans Mono"/>
                <w:color w:val="1B1F23"/>
                <w:sz w:val="17"/>
              </w:rPr>
              <w:t>0ebd2b079c0df2beaec8312da8227e45eee259e3</w:t>
              <w:br/>
            </w:r>
            <w:r>
              <w:rPr>
                <w:rFonts w:ascii="DejaVu Sans Mono" w:hAnsi="DejaVu Sans Mono"/>
                <w:color w:val="1B1F23"/>
                <w:sz w:val="17"/>
              </w:rPr>
              <w:br/>
            </w:r>
            <w:r>
              <w:rPr>
                <w:rFonts w:ascii="DejaVu Sans Mono" w:hAnsi="DejaVu Sans Mono"/>
                <w:color w:val="1B1F23"/>
                <w:sz w:val="17"/>
              </w:rPr>
              <w:t>representative evidence paths:</w:t>
              <w:br/>
            </w:r>
            <w:r>
              <w:rPr>
                <w:rFonts w:ascii="DejaVu Sans Mono" w:hAnsi="DejaVu Sans Mono"/>
                <w:color w:val="1B1F23"/>
                <w:sz w:val="17"/>
              </w:rPr>
              <w:t>evidence/base-layer/sybil-poisoning/a02-comparative-pressure/property-adjudication.json</w:t>
              <w:br/>
            </w:r>
            <w:r>
              <w:rPr>
                <w:rFonts w:ascii="DejaVu Sans Mono" w:hAnsi="DejaVu Sans Mono"/>
                <w:color w:val="1B1F23"/>
                <w:sz w:val="17"/>
              </w:rPr>
              <w:t>evidence/base-layer/sybil-poisoning/a02-comparative-pressure/vector-pressure-matrix.json</w:t>
              <w:br/>
            </w:r>
            <w:r>
              <w:rPr>
                <w:rFonts w:ascii="DejaVu Sans Mono" w:hAnsi="DejaVu Sans Mono"/>
                <w:color w:val="1B1F23"/>
                <w:sz w:val="17"/>
              </w:rPr>
              <w:t>evidence/base-layer/sybil-poisoning/a02-comparative-pressure/RESEARCH-ADJUDICATION.md</w:t>
            </w:r>
          </w:p>
        </w:tc>
      </w:tr>
    </w:tbl>
    <w:p>
      <w:pPr>
        <w:spacing w:after="20"/>
      </w:pPr>
    </w:p>
    <w:p>
      <w:pPr>
        <w:pStyle w:val="Heading1"/>
        <w:spacing w:before="240" w:after="100"/>
      </w:pPr>
      <w:r>
        <w:rPr>
          <w:rFonts w:ascii="Noto Sans" w:hAnsi="Noto Sans"/>
          <w:b/>
          <w:color w:val="17324D"/>
          <w:sz w:val="32"/>
        </w:rPr>
        <w:t>13. Competitive and Adjacent Work</w:t>
      </w:r>
    </w:p>
    <w:p>
      <w:pPr>
        <w:spacing w:before="0" w:after="120" w:line="269" w:lineRule="auto"/>
      </w:pPr>
      <w:r>
        <w:rPr>
          <w:rFonts w:ascii="Noto Sans" w:hAnsi="Noto Sans"/>
          <w:b w:val="0"/>
          <w:i w:val="0"/>
          <w:color w:val="1B1F23"/>
          <w:sz w:val="21"/>
        </w:rPr>
        <w:t>DSEARCH is not based on the claim that decentralized or open search has never been attempted. Adjacent systems provide important comparative evidence and help define DSEARCH's narrower proposition.</w:t>
      </w:r>
    </w:p>
    <w:p>
      <w:pPr>
        <w:pStyle w:val="ListBullet"/>
        <w:spacing w:after="60" w:line="259" w:lineRule="auto"/>
      </w:pPr>
      <w:r>
        <w:rPr>
          <w:rFonts w:ascii="Noto Sans" w:hAnsi="Noto Sans"/>
          <w:color w:val="1B1F23"/>
          <w:sz w:val="20"/>
        </w:rPr>
        <w:t>YaCy demonstrates peer-to-peer crawling, indexing, and search through independently operated peers contributing to a shared index.</w:t>
      </w:r>
    </w:p>
    <w:p>
      <w:pPr>
        <w:pStyle w:val="ListBullet"/>
        <w:spacing w:after="60" w:line="259" w:lineRule="auto"/>
      </w:pPr>
      <w:r>
        <w:rPr>
          <w:rFonts w:ascii="Noto Sans" w:hAnsi="Noto Sans"/>
          <w:color w:val="1B1F23"/>
          <w:sz w:val="20"/>
        </w:rPr>
        <w:t>Presearch demonstrates a node-mediated decentralized-search model tied to a particular network and economic incentive structure.</w:t>
      </w:r>
    </w:p>
    <w:p>
      <w:pPr>
        <w:pStyle w:val="ListBullet"/>
        <w:spacing w:after="60" w:line="259" w:lineRule="auto"/>
      </w:pPr>
      <w:r>
        <w:rPr>
          <w:rFonts w:ascii="Noto Sans" w:hAnsi="Noto Sans"/>
          <w:color w:val="1B1F23"/>
          <w:sz w:val="20"/>
        </w:rPr>
        <w:t>IPNI demonstrates a separation among provider advertisement, indexing, and content discovery for content-addressable data.</w:t>
      </w:r>
    </w:p>
    <w:p>
      <w:pPr>
        <w:pStyle w:val="ListBullet"/>
        <w:spacing w:after="60" w:line="259" w:lineRule="auto"/>
      </w:pPr>
      <w:r>
        <w:rPr>
          <w:rFonts w:ascii="Noto Sans" w:hAnsi="Noto Sans"/>
          <w:color w:val="1B1F23"/>
          <w:sz w:val="20"/>
        </w:rPr>
        <w:t>OpenWebSearch.eu demonstrates an institutional approach to open web crawling and an Open Web Index intended to support search applications and AI systems.</w:t>
      </w:r>
    </w:p>
    <w:p>
      <w:pPr>
        <w:spacing w:before="0" w:after="120" w:line="269" w:lineRule="auto"/>
      </w:pPr>
      <w:r>
        <w:rPr>
          <w:rFonts w:ascii="Noto Sans" w:hAnsi="Noto Sans"/>
          <w:b w:val="0"/>
          <w:i w:val="0"/>
          <w:color w:val="1B1F23"/>
          <w:sz w:val="21"/>
        </w:rPr>
        <w:t>DSEARCH's proposition is narrower: establish neutral contracts beneath crawlers, indexes, relays, ranking engines, search interfaces, AI consumers, and economic systems so that multiple implementations can exchange compatible evidence while remaining replaceable.</w:t>
      </w:r>
    </w:p>
    <w:p>
      <w:pPr>
        <w:pStyle w:val="Heading1"/>
        <w:spacing w:before="240" w:after="100"/>
      </w:pPr>
      <w:r>
        <w:rPr>
          <w:rFonts w:ascii="Noto Sans" w:hAnsi="Noto Sans"/>
          <w:b/>
          <w:color w:val="17324D"/>
          <w:sz w:val="32"/>
        </w:rPr>
        <w:t>14. Why Funding Now</w:t>
      </w:r>
    </w:p>
    <w:p>
      <w:pPr>
        <w:spacing w:before="0" w:after="120" w:line="269" w:lineRule="auto"/>
      </w:pPr>
      <w:r>
        <w:rPr>
          <w:rFonts w:ascii="Noto Sans" w:hAnsi="Noto Sans"/>
          <w:b w:val="0"/>
          <w:i w:val="0"/>
          <w:color w:val="1B1F23"/>
          <w:sz w:val="21"/>
        </w:rPr>
        <w:t>The project deliberately did not begin by asking a funder to finance an undefined distributed-search architecture. The unfunded phase was used to identify the contract boundaries and determine whether those contracts could survive materially different systems and implementations. That work has now reached diminishing returns for broad unfunded foundational research.</w:t>
      </w:r>
    </w:p>
    <w:p>
      <w:pPr>
        <w:spacing w:before="0" w:after="120" w:line="269" w:lineRule="auto"/>
      </w:pPr>
      <w:r>
        <w:rPr>
          <w:rFonts w:ascii="Noto Sans" w:hAnsi="Noto Sans"/>
          <w:b w:val="0"/>
          <w:i w:val="0"/>
          <w:color w:val="1B1F23"/>
          <w:sz w:val="21"/>
        </w:rPr>
        <w:t>The remaining questions are increasingly implementation, conformance, adversarial testing, migration, replacement, integration, and independent-implementation questions. That is the work the proposed tranche purchases.</w:t>
      </w:r>
    </w:p>
    <w:p>
      <w:pPr>
        <w:pStyle w:val="Heading1"/>
        <w:spacing w:before="240" w:after="100"/>
      </w:pPr>
      <w:r>
        <w:rPr>
          <w:rFonts w:ascii="Noto Sans" w:hAnsi="Noto Sans"/>
          <w:b/>
          <w:color w:val="17324D"/>
          <w:sz w:val="32"/>
        </w:rPr>
        <w:t>15. Funded Engineering Work</w:t>
      </w:r>
    </w:p>
    <w:p>
      <w:pPr>
        <w:pStyle w:val="ListBullet"/>
        <w:spacing w:after="60" w:line="259" w:lineRule="auto"/>
      </w:pPr>
      <w:r>
        <w:rPr>
          <w:rFonts w:ascii="Noto Sans" w:hAnsi="Noto Sans"/>
          <w:color w:val="1B1F23"/>
          <w:sz w:val="20"/>
        </w:rPr>
        <w:t>Exercise verified coverage handoff through independent placement implementations.</w:t>
      </w:r>
    </w:p>
    <w:p>
      <w:pPr>
        <w:pStyle w:val="ListBullet"/>
        <w:spacing w:after="60" w:line="259" w:lineRule="auto"/>
      </w:pPr>
      <w:r>
        <w:rPr>
          <w:rFonts w:ascii="Noto Sans" w:hAnsi="Noto Sans"/>
          <w:color w:val="1B1F23"/>
          <w:sz w:val="20"/>
        </w:rPr>
        <w:t>Strengthen implementation-lineage evidence and comparative fixtures.</w:t>
      </w:r>
    </w:p>
    <w:p>
      <w:pPr>
        <w:pStyle w:val="ListBullet"/>
        <w:spacing w:after="60" w:line="259" w:lineRule="auto"/>
      </w:pPr>
      <w:r>
        <w:rPr>
          <w:rFonts w:ascii="Noto Sans" w:hAnsi="Noto Sans"/>
          <w:color w:val="1B1F23"/>
          <w:sz w:val="20"/>
        </w:rPr>
        <w:t>Define exact rate/volume observation-window, denominator, and normalization semantics.</w:t>
      </w:r>
    </w:p>
    <w:p>
      <w:pPr>
        <w:pStyle w:val="ListBullet"/>
        <w:spacing w:after="60" w:line="259" w:lineRule="auto"/>
      </w:pPr>
      <w:r>
        <w:rPr>
          <w:rFonts w:ascii="Noto Sans" w:hAnsi="Noto Sans"/>
          <w:color w:val="1B1F23"/>
          <w:sz w:val="20"/>
        </w:rPr>
        <w:t>Build adversarial corroboration-independence cases distinguishing genuine diversity from apparent multiplicity under common control or shared failure domains.</w:t>
      </w:r>
    </w:p>
    <w:p>
      <w:pPr>
        <w:pStyle w:val="ListBullet"/>
        <w:spacing w:after="60" w:line="259" w:lineRule="auto"/>
      </w:pPr>
      <w:r>
        <w:rPr>
          <w:rFonts w:ascii="Noto Sans" w:hAnsi="Noto Sans"/>
          <w:color w:val="1B1F23"/>
          <w:sz w:val="20"/>
        </w:rPr>
        <w:t>Compose mature contracts into an integrated Base-Layer reference path.</w:t>
      </w:r>
    </w:p>
    <w:p>
      <w:pPr>
        <w:pStyle w:val="ListBullet"/>
        <w:spacing w:after="60" w:line="259" w:lineRule="auto"/>
      </w:pPr>
      <w:r>
        <w:rPr>
          <w:rFonts w:ascii="Noto Sans" w:hAnsi="Noto Sans"/>
          <w:color w:val="1B1F23"/>
          <w:sz w:val="20"/>
        </w:rPr>
        <w:t>Continue to use materially different implementation approaches where implementation diversity meaningfully tests the contract.</w:t>
      </w:r>
    </w:p>
    <w:p>
      <w:pPr>
        <w:pStyle w:val="ListBullet"/>
        <w:spacing w:after="60" w:line="259" w:lineRule="auto"/>
      </w:pPr>
      <w:r>
        <w:rPr>
          <w:rFonts w:ascii="Noto Sans" w:hAnsi="Noto Sans"/>
          <w:color w:val="1B1F23"/>
          <w:sz w:val="20"/>
        </w:rPr>
        <w:t>Keep the schemas, conformance vectors, observable behavior, and evidence more authoritative than any reference implementation.</w:t>
      </w:r>
    </w:p>
    <w:p>
      <w:pPr>
        <w:pStyle w:val="Heading1"/>
        <w:spacing w:before="240" w:after="100"/>
      </w:pPr>
      <w:r>
        <w:rPr>
          <w:rFonts w:ascii="Noto Sans" w:hAnsi="Noto Sans"/>
          <w:b/>
          <w:color w:val="17324D"/>
          <w:sz w:val="32"/>
        </w:rPr>
        <w:t>16. Six-Week Milestone Plan</w:t>
      </w:r>
    </w:p>
    <w:p>
      <w:pPr>
        <w:pStyle w:val="Heading2"/>
        <w:spacing w:before="160" w:after="100"/>
      </w:pPr>
      <w:r>
        <w:rPr>
          <w:rFonts w:ascii="Noto Sans" w:hAnsi="Noto Sans"/>
          <w:b/>
          <w:color w:val="17324D"/>
          <w:sz w:val="26"/>
        </w:rPr>
        <w:t>Weeks 1–3 — Contract Hardening and Independent Implementation Pressure</w:t>
      </w:r>
    </w:p>
    <w:p>
      <w:pPr>
        <w:pStyle w:val="ListBullet"/>
        <w:spacing w:after="60" w:line="259" w:lineRule="auto"/>
      </w:pPr>
      <w:r>
        <w:rPr>
          <w:rFonts w:ascii="Noto Sans" w:hAnsi="Noto Sans"/>
          <w:color w:val="1B1F23"/>
          <w:sz w:val="20"/>
        </w:rPr>
        <w:t>Establish the funded source and evidence baseline.</w:t>
      </w:r>
    </w:p>
    <w:p>
      <w:pPr>
        <w:pStyle w:val="ListBullet"/>
        <w:spacing w:after="60" w:line="259" w:lineRule="auto"/>
      </w:pPr>
      <w:r>
        <w:rPr>
          <w:rFonts w:ascii="Noto Sans" w:hAnsi="Noto Sans"/>
          <w:color w:val="1B1F23"/>
          <w:sz w:val="20"/>
        </w:rPr>
        <w:t>Select and onboard the second developer.</w:t>
      </w:r>
    </w:p>
    <w:p>
      <w:pPr>
        <w:pStyle w:val="ListBullet"/>
        <w:spacing w:after="60" w:line="259" w:lineRule="auto"/>
      </w:pPr>
      <w:r>
        <w:rPr>
          <w:rFonts w:ascii="Noto Sans" w:hAnsi="Noto Sans"/>
          <w:color w:val="1B1F23"/>
          <w:sz w:val="20"/>
        </w:rPr>
        <w:t>Harden verified-handoff semantics.</w:t>
      </w:r>
    </w:p>
    <w:p>
      <w:pPr>
        <w:pStyle w:val="ListBullet"/>
        <w:spacing w:after="60" w:line="259" w:lineRule="auto"/>
      </w:pPr>
      <w:r>
        <w:rPr>
          <w:rFonts w:ascii="Noto Sans" w:hAnsi="Noto Sans"/>
          <w:color w:val="1B1F23"/>
          <w:sz w:val="20"/>
        </w:rPr>
        <w:t>Refine implementation-lineage evidence.</w:t>
      </w:r>
    </w:p>
    <w:p>
      <w:pPr>
        <w:pStyle w:val="ListBullet"/>
        <w:spacing w:after="60" w:line="259" w:lineRule="auto"/>
      </w:pPr>
      <w:r>
        <w:rPr>
          <w:rFonts w:ascii="Noto Sans" w:hAnsi="Noto Sans"/>
          <w:color w:val="1B1F23"/>
          <w:sz w:val="20"/>
        </w:rPr>
        <w:t>Define exact rate/volume observation-window and normalization semantics.</w:t>
      </w:r>
    </w:p>
    <w:p>
      <w:pPr>
        <w:pStyle w:val="ListBullet"/>
        <w:spacing w:after="60" w:line="259" w:lineRule="auto"/>
      </w:pPr>
      <w:r>
        <w:rPr>
          <w:rFonts w:ascii="Noto Sans" w:hAnsi="Noto Sans"/>
          <w:color w:val="1B1F23"/>
          <w:sz w:val="20"/>
        </w:rPr>
        <w:t>Construct initial corroboration-independence adversarial fixtures.</w:t>
      </w:r>
    </w:p>
    <w:p>
      <w:pPr>
        <w:pStyle w:val="ListBullet"/>
        <w:spacing w:after="60" w:line="259" w:lineRule="auto"/>
      </w:pPr>
      <w:r>
        <w:rPr>
          <w:rFonts w:ascii="Noto Sans" w:hAnsi="Noto Sans"/>
          <w:color w:val="1B1F23"/>
          <w:sz w:val="20"/>
        </w:rPr>
        <w:t>Extend executable conformance vectors.</w:t>
      </w:r>
    </w:p>
    <w:p>
      <w:pPr>
        <w:pStyle w:val="ListBullet"/>
        <w:spacing w:after="60" w:line="259" w:lineRule="auto"/>
      </w:pPr>
      <w:r>
        <w:rPr>
          <w:rFonts w:ascii="Noto Sans" w:hAnsi="Noto Sans"/>
          <w:color w:val="1B1F23"/>
          <w:sz w:val="20"/>
        </w:rPr>
        <w:t>Begin a materially independent implementation profile against the contracts rather than against reference source code.</w:t>
      </w:r>
    </w:p>
    <w:p>
      <w:pPr>
        <w:spacing w:before="0" w:after="120" w:line="269" w:lineRule="auto"/>
      </w:pPr>
      <w:r>
        <w:rPr>
          <w:rFonts w:ascii="Noto Sans" w:hAnsi="Noto Sans"/>
          <w:b w:val="0"/>
          <w:i w:val="0"/>
          <w:color w:val="1B1F23"/>
          <w:sz w:val="21"/>
        </w:rPr>
        <w:t>A midpoint review will identify assumptions that have become materially more difficult than the pre-funding research suggested. Such findings will be preserved as evidence and may alter second-half priorities rather than being concealed to preserve the schedule.</w:t>
      </w:r>
    </w:p>
    <w:p>
      <w:pPr>
        <w:pStyle w:val="Heading2"/>
        <w:spacing w:before="160" w:after="100"/>
      </w:pPr>
      <w:r>
        <w:rPr>
          <w:rFonts w:ascii="Noto Sans" w:hAnsi="Noto Sans"/>
          <w:b/>
          <w:color w:val="17324D"/>
          <w:sz w:val="26"/>
        </w:rPr>
        <w:t>Weeks 4–6 — Integration, Adversarial Qualification, and Release Candidate</w:t>
      </w:r>
    </w:p>
    <w:p>
      <w:pPr>
        <w:pStyle w:val="ListBullet"/>
        <w:spacing w:after="60" w:line="259" w:lineRule="auto"/>
      </w:pPr>
      <w:r>
        <w:rPr>
          <w:rFonts w:ascii="Noto Sans" w:hAnsi="Noto Sans"/>
          <w:color w:val="1B1F23"/>
          <w:sz w:val="20"/>
        </w:rPr>
        <w:t>Compose mature Base contracts into an integrated reference path.</w:t>
      </w:r>
    </w:p>
    <w:p>
      <w:pPr>
        <w:pStyle w:val="ListBullet"/>
        <w:spacing w:after="60" w:line="259" w:lineRule="auto"/>
      </w:pPr>
      <w:r>
        <w:rPr>
          <w:rFonts w:ascii="Noto Sans" w:hAnsi="Noto Sans"/>
          <w:color w:val="1B1F23"/>
          <w:sz w:val="20"/>
        </w:rPr>
        <w:t>Run competing implementation profiles through common conformance tests.</w:t>
      </w:r>
    </w:p>
    <w:p>
      <w:pPr>
        <w:pStyle w:val="ListBullet"/>
        <w:spacing w:after="60" w:line="259" w:lineRule="auto"/>
      </w:pPr>
      <w:r>
        <w:rPr>
          <w:rFonts w:ascii="Noto Sans" w:hAnsi="Noto Sans"/>
          <w:color w:val="1B1F23"/>
          <w:sz w:val="20"/>
        </w:rPr>
        <w:t>Exercise destructive and adversarial cases.</w:t>
      </w:r>
    </w:p>
    <w:p>
      <w:pPr>
        <w:pStyle w:val="ListBullet"/>
        <w:spacing w:after="60" w:line="259" w:lineRule="auto"/>
      </w:pPr>
      <w:r>
        <w:rPr>
          <w:rFonts w:ascii="Noto Sans" w:hAnsi="Noto Sans"/>
          <w:color w:val="1B1F23"/>
          <w:sz w:val="20"/>
        </w:rPr>
        <w:t>Test selected migration and responsibility-handoff conditions.</w:t>
      </w:r>
    </w:p>
    <w:p>
      <w:pPr>
        <w:pStyle w:val="ListBullet"/>
        <w:spacing w:after="60" w:line="259" w:lineRule="auto"/>
      </w:pPr>
      <w:r>
        <w:rPr>
          <w:rFonts w:ascii="Noto Sans" w:hAnsi="Noto Sans"/>
          <w:color w:val="1B1F23"/>
          <w:sz w:val="20"/>
        </w:rPr>
        <w:t>Verify that implementation-specific mechanisms remain beneath the shared contracts.</w:t>
      </w:r>
    </w:p>
    <w:p>
      <w:pPr>
        <w:pStyle w:val="ListBullet"/>
        <w:spacing w:after="60" w:line="259" w:lineRule="auto"/>
      </w:pPr>
      <w:r>
        <w:rPr>
          <w:rFonts w:ascii="Noto Sans" w:hAnsi="Noto Sans"/>
          <w:color w:val="1B1F23"/>
          <w:sz w:val="20"/>
        </w:rPr>
        <w:t>Prepare independent-implementer documentation.</w:t>
      </w:r>
    </w:p>
    <w:p>
      <w:pPr>
        <w:pStyle w:val="ListBullet"/>
        <w:spacing w:after="60" w:line="259" w:lineRule="auto"/>
      </w:pPr>
      <w:r>
        <w:rPr>
          <w:rFonts w:ascii="Noto Sans" w:hAnsi="Noto Sans"/>
          <w:color w:val="1B1F23"/>
          <w:sz w:val="20"/>
        </w:rPr>
        <w:t>Assemble the release-candidate evidence package.</w:t>
      </w:r>
    </w:p>
    <w:p>
      <w:pPr>
        <w:pStyle w:val="ListBullet"/>
        <w:spacing w:after="60" w:line="259" w:lineRule="auto"/>
      </w:pPr>
      <w:r>
        <w:rPr>
          <w:rFonts w:ascii="Noto Sans" w:hAnsi="Noto Sans"/>
          <w:color w:val="1B1F23"/>
          <w:sz w:val="20"/>
        </w:rPr>
        <w:t>Perform the formal tranche-end technical assessment.</w:t>
      </w:r>
    </w:p>
    <w:tbl>
      <w:tblPr>
        <w:tblW w:type="auto" w:w="0"/>
        <w:jc w:val="center"/>
        <w:tblLook w:firstColumn="1" w:firstRow="1" w:lastColumn="0" w:lastRow="0" w:noHBand="0" w:noVBand="1" w:val="04A0"/>
      </w:tblPr>
      <w:tblGrid>
        <w:gridCol w:w="9994"/>
      </w:tblGrid>
      <w:tr>
        <w:tc>
          <w:tcPr>
            <w:tcW w:type="dxa" w:w="9994"/>
            <w:shd w:fill="EAF1F3"/>
            <w:tcMar>
              <w:top w:w="140" w:type="dxa"/>
              <w:start w:w="180" w:type="dxa"/>
              <w:bottom w:w="140" w:type="dxa"/>
              <w:end w:w="180" w:type="dxa"/>
            </w:tcMar>
            <w:tcBorders>
              <w:top w:val="single" w:sz="6" w:color="1F6F78"/>
              <w:bottom w:val="single" w:sz="6" w:color="1F6F78"/>
              <w:start w:val="single" w:sz="6" w:color="1F6F78"/>
              <w:end w:val="single" w:sz="6" w:color="1F6F78"/>
            </w:tcBorders>
          </w:tcPr>
          <w:p>
            <w:pPr>
              <w:spacing w:before="0" w:after="80" w:line="269" w:lineRule="auto"/>
            </w:pPr>
            <w:r>
              <w:rPr>
                <w:rFonts w:ascii="Noto Sans" w:hAnsi="Noto Sans"/>
                <w:b/>
                <w:color w:val="17324D"/>
                <w:sz w:val="21"/>
              </w:rPr>
              <w:t>SIX-WEEK STOPPING CONDITION</w:t>
            </w:r>
          </w:p>
          <w:p>
            <w:pPr>
              <w:spacing w:before="0" w:after="0" w:line="259" w:lineRule="auto"/>
            </w:pPr>
            <w:r>
              <w:rPr>
                <w:rFonts w:ascii="Noto Sans" w:hAnsi="Noto Sans"/>
                <w:color w:val="1B1F23"/>
                <w:sz w:val="19"/>
              </w:rPr>
              <w:t>The six-week tranche is designed to stand on its own. If no further funding follows, it should still leave a coherent repository and evidence state containing the contracts, schemas, implementations, tests, documentation, known failures, and explicitly unresolved questions produced during the run. The eight-week option deepens qualification; it is not required to rescue intentionally unfinished six-week work.</w:t>
            </w:r>
          </w:p>
        </w:tc>
      </w:tr>
    </w:tbl>
    <w:p>
      <w:pPr>
        <w:spacing w:after="20"/>
      </w:pPr>
    </w:p>
    <w:p>
      <w:pPr>
        <w:pStyle w:val="Heading1"/>
        <w:spacing w:before="240" w:after="100"/>
      </w:pPr>
      <w:r>
        <w:rPr>
          <w:rFonts w:ascii="Noto Sans" w:hAnsi="Noto Sans"/>
          <w:b/>
          <w:color w:val="17324D"/>
          <w:sz w:val="32"/>
        </w:rPr>
        <w:t>17. Optional Weeks 7–8 — Additional Qualification Depth</w:t>
      </w:r>
    </w:p>
    <w:p>
      <w:pPr>
        <w:pStyle w:val="ListBullet"/>
        <w:spacing w:after="60" w:line="259" w:lineRule="auto"/>
      </w:pPr>
      <w:r>
        <w:rPr>
          <w:rFonts w:ascii="Noto Sans" w:hAnsi="Noto Sans"/>
          <w:color w:val="1B1F23"/>
          <w:sz w:val="20"/>
        </w:rPr>
        <w:t>Stronger external or multi-host failure-domain testing.</w:t>
      </w:r>
    </w:p>
    <w:p>
      <w:pPr>
        <w:pStyle w:val="ListBullet"/>
        <w:spacing w:after="60" w:line="259" w:lineRule="auto"/>
      </w:pPr>
      <w:r>
        <w:rPr>
          <w:rFonts w:ascii="Noto Sans" w:hAnsi="Noto Sans"/>
          <w:color w:val="1B1F23"/>
          <w:sz w:val="20"/>
        </w:rPr>
        <w:t>Additional independence pressure on the second implementation.</w:t>
      </w:r>
    </w:p>
    <w:p>
      <w:pPr>
        <w:pStyle w:val="ListBullet"/>
        <w:spacing w:after="60" w:line="259" w:lineRule="auto"/>
      </w:pPr>
      <w:r>
        <w:rPr>
          <w:rFonts w:ascii="Noto Sans" w:hAnsi="Noto Sans"/>
          <w:color w:val="1B1F23"/>
          <w:sz w:val="20"/>
        </w:rPr>
        <w:t>More extensive adversarial and manipulation fixtures.</w:t>
      </w:r>
    </w:p>
    <w:p>
      <w:pPr>
        <w:pStyle w:val="ListBullet"/>
        <w:spacing w:after="60" w:line="259" w:lineRule="auto"/>
      </w:pPr>
      <w:r>
        <w:rPr>
          <w:rFonts w:ascii="Noto Sans" w:hAnsi="Noto Sans"/>
          <w:color w:val="1B1F23"/>
          <w:sz w:val="20"/>
        </w:rPr>
        <w:t>Broader migration and replacement cases.</w:t>
      </w:r>
    </w:p>
    <w:p>
      <w:pPr>
        <w:pStyle w:val="ListBullet"/>
        <w:spacing w:after="60" w:line="259" w:lineRule="auto"/>
      </w:pPr>
      <w:r>
        <w:rPr>
          <w:rFonts w:ascii="Noto Sans" w:hAnsi="Noto Sans"/>
          <w:color w:val="1B1F23"/>
          <w:sz w:val="20"/>
        </w:rPr>
        <w:t>Destructive recovery testing under changed infrastructure assumptions.</w:t>
      </w:r>
    </w:p>
    <w:p>
      <w:pPr>
        <w:pStyle w:val="ListBullet"/>
        <w:spacing w:after="60" w:line="259" w:lineRule="auto"/>
      </w:pPr>
      <w:r>
        <w:rPr>
          <w:rFonts w:ascii="Noto Sans" w:hAnsi="Noto Sans"/>
          <w:color w:val="1B1F23"/>
          <w:sz w:val="20"/>
        </w:rPr>
        <w:t>Stronger documentation and independent-implementation onboarding tests.</w:t>
      </w:r>
    </w:p>
    <w:p>
      <w:pPr>
        <w:pStyle w:val="ListBullet"/>
        <w:spacing w:after="60" w:line="259" w:lineRule="auto"/>
      </w:pPr>
      <w:r>
        <w:rPr>
          <w:rFonts w:ascii="Noto Sans" w:hAnsi="Noto Sans"/>
          <w:color w:val="1B1F23"/>
          <w:sz w:val="20"/>
        </w:rPr>
        <w:t>Further reduction of assumptions coupled to the reference path.</w:t>
      </w:r>
    </w:p>
    <w:p>
      <w:pPr>
        <w:pStyle w:val="Heading1"/>
        <w:spacing w:before="240" w:after="100"/>
      </w:pPr>
      <w:r>
        <w:rPr>
          <w:rFonts w:ascii="Noto Sans" w:hAnsi="Noto Sans"/>
          <w:b/>
          <w:color w:val="17324D"/>
          <w:sz w:val="32"/>
        </w:rPr>
        <w:t>18. Deliverables</w:t>
      </w:r>
    </w:p>
    <w:p>
      <w:pPr>
        <w:pStyle w:val="ListNumber"/>
        <w:spacing w:after="80"/>
      </w:pPr>
      <w:r>
        <w:rPr>
          <w:rFonts w:ascii="Noto Sans" w:hAnsi="Noto Sans"/>
          <w:color w:val="1B1F23"/>
          <w:sz w:val="20"/>
        </w:rPr>
        <w:t>Hardened Base-Layer contracts and schema revisions for the currently bounded open areas.</w:t>
      </w:r>
    </w:p>
    <w:p>
      <w:pPr>
        <w:pStyle w:val="ListNumber"/>
        <w:spacing w:after="80"/>
      </w:pPr>
      <w:r>
        <w:rPr>
          <w:rFonts w:ascii="Noto Sans" w:hAnsi="Noto Sans"/>
          <w:color w:val="1B1F23"/>
          <w:sz w:val="20"/>
        </w:rPr>
        <w:t>Executable conformance fixtures for verified handoff, implementation diversity, rate/volume observations, and corroboration evidence.</w:t>
      </w:r>
    </w:p>
    <w:p>
      <w:pPr>
        <w:pStyle w:val="ListNumber"/>
        <w:spacing w:after="80"/>
      </w:pPr>
      <w:r>
        <w:rPr>
          <w:rFonts w:ascii="Noto Sans" w:hAnsi="Noto Sans"/>
          <w:color w:val="1B1F23"/>
          <w:sz w:val="20"/>
        </w:rPr>
        <w:t>Adversarial and destructive fixtures covering origin loss, stale observations, incomplete replication, failed handoff, partial coverage, concentrated placement, apparent diversity under common control, routing capture, spam bursts, misleading corroboration, heuristic false positives, heuristic evasion, and manipulative indexed content.</w:t>
      </w:r>
    </w:p>
    <w:p>
      <w:pPr>
        <w:pStyle w:val="ListNumber"/>
        <w:spacing w:after="80"/>
      </w:pPr>
      <w:r>
        <w:rPr>
          <w:rFonts w:ascii="Noto Sans" w:hAnsi="Noto Sans"/>
          <w:color w:val="1B1F23"/>
          <w:sz w:val="20"/>
        </w:rPr>
        <w:t>At least two materially different implementation profiles where implementation diversity materially tests the shared contract.</w:t>
      </w:r>
    </w:p>
    <w:p>
      <w:pPr>
        <w:pStyle w:val="ListNumber"/>
        <w:spacing w:after="80"/>
      </w:pPr>
      <w:r>
        <w:rPr>
          <w:rFonts w:ascii="Noto Sans" w:hAnsi="Noto Sans"/>
          <w:color w:val="1B1F23"/>
          <w:sz w:val="20"/>
        </w:rPr>
        <w:t>An integrated reference path demonstrating composition of observation, identity, replication, recovery, coverage, placement, diversity, and attack-relevant evidence.</w:t>
      </w:r>
    </w:p>
    <w:p>
      <w:pPr>
        <w:pStyle w:val="ListNumber"/>
        <w:spacing w:after="80"/>
      </w:pPr>
      <w:r>
        <w:rPr>
          <w:rFonts w:ascii="Noto Sans" w:hAnsi="Noto Sans"/>
          <w:color w:val="1B1F23"/>
          <w:sz w:val="20"/>
        </w:rPr>
        <w:t>Migration and replacement tests demonstrating that state or responsibility can move between implementations without silently changing Base semantics.</w:t>
      </w:r>
    </w:p>
    <w:p>
      <w:pPr>
        <w:pStyle w:val="ListNumber"/>
        <w:spacing w:after="80"/>
      </w:pPr>
      <w:r>
        <w:rPr>
          <w:rFonts w:ascii="Noto Sans" w:hAnsi="Noto Sans"/>
          <w:color w:val="1B1F23"/>
          <w:sz w:val="20"/>
        </w:rPr>
        <w:t>Developer documentation sufficient for an independent implementation effort.</w:t>
      </w:r>
    </w:p>
    <w:p>
      <w:pPr>
        <w:pStyle w:val="ListNumber"/>
        <w:spacing w:after="80"/>
      </w:pPr>
      <w:r>
        <w:rPr>
          <w:rFonts w:ascii="Noto Sans" w:hAnsi="Noto Sans"/>
          <w:color w:val="1B1F23"/>
          <w:sz w:val="20"/>
        </w:rPr>
        <w:t>A tranche-end technical and evidence package distinguishing demonstrated behavior, failed assumptions, unresolved questions, and recommended next work.</w:t>
      </w:r>
    </w:p>
    <w:p>
      <w:pPr>
        <w:pStyle w:val="Heading1"/>
        <w:spacing w:before="240" w:after="100"/>
      </w:pPr>
      <w:r>
        <w:rPr>
          <w:rFonts w:ascii="Noto Sans" w:hAnsi="Noto Sans"/>
          <w:b/>
          <w:color w:val="17324D"/>
          <w:sz w:val="32"/>
        </w:rPr>
        <w:t>19. Acceptance Criteria</w:t>
      </w:r>
    </w:p>
    <w:p>
      <w:pPr>
        <w:pStyle w:val="ListBullet"/>
        <w:spacing w:after="60" w:line="259" w:lineRule="auto"/>
      </w:pPr>
      <w:r>
        <w:rPr>
          <w:rFonts w:ascii="Noto Sans" w:hAnsi="Noto Sans"/>
          <w:color w:val="1B1F23"/>
          <w:sz w:val="20"/>
        </w:rPr>
        <w:t>Agreed conformance and destructive tests execute successfully or record explicit, reproducible failure evidence.</w:t>
      </w:r>
    </w:p>
    <w:p>
      <w:pPr>
        <w:pStyle w:val="ListBullet"/>
        <w:spacing w:after="60" w:line="259" w:lineRule="auto"/>
      </w:pPr>
      <w:r>
        <w:rPr>
          <w:rFonts w:ascii="Noto Sans" w:hAnsi="Noto Sans"/>
          <w:color w:val="1B1F23"/>
          <w:sz w:val="20"/>
        </w:rPr>
        <w:t>Materially different implementations continue to satisfy common semantics where the contract is claimed to be bounded.</w:t>
      </w:r>
    </w:p>
    <w:p>
      <w:pPr>
        <w:pStyle w:val="ListBullet"/>
        <w:spacing w:after="60" w:line="259" w:lineRule="auto"/>
      </w:pPr>
      <w:r>
        <w:rPr>
          <w:rFonts w:ascii="Noto Sans" w:hAnsi="Noto Sans"/>
          <w:color w:val="1B1F23"/>
          <w:sz w:val="20"/>
        </w:rPr>
        <w:t>Implementation-specific identifiers, transports, storage systems, cryptographic profiles, and policy decisions remain beneath the Base contract.</w:t>
      </w:r>
    </w:p>
    <w:p>
      <w:pPr>
        <w:pStyle w:val="ListBullet"/>
        <w:spacing w:after="60" w:line="259" w:lineRule="auto"/>
      </w:pPr>
      <w:r>
        <w:rPr>
          <w:rFonts w:ascii="Noto Sans" w:hAnsi="Noto Sans"/>
          <w:color w:val="1B1F23"/>
          <w:sz w:val="20"/>
        </w:rPr>
        <w:t>Migration and replacement testing do not silently transfer protocol authority to the reference implementation.</w:t>
      </w:r>
    </w:p>
    <w:p>
      <w:pPr>
        <w:pStyle w:val="ListBullet"/>
        <w:spacing w:after="60" w:line="259" w:lineRule="auto"/>
      </w:pPr>
      <w:r>
        <w:rPr>
          <w:rFonts w:ascii="Noto Sans" w:hAnsi="Noto Sans"/>
          <w:color w:val="1B1F23"/>
          <w:sz w:val="20"/>
        </w:rPr>
        <w:t>Unresolved questions remain explicit rather than being hidden behind successful demonstrations.</w:t>
      </w:r>
    </w:p>
    <w:p>
      <w:pPr>
        <w:pStyle w:val="ListBullet"/>
        <w:spacing w:after="60" w:line="259" w:lineRule="auto"/>
      </w:pPr>
      <w:r>
        <w:rPr>
          <w:rFonts w:ascii="Noto Sans" w:hAnsi="Noto Sans"/>
          <w:color w:val="1B1F23"/>
          <w:sz w:val="20"/>
        </w:rPr>
        <w:t>The tranche-end assessment determines whether another competent developer can work from the contracts and evidence without reconstructing undocumented assumptions from the reference code.</w:t>
      </w:r>
    </w:p>
    <w:p>
      <w:pPr>
        <w:spacing w:before="0" w:after="120" w:line="269" w:lineRule="auto"/>
      </w:pPr>
      <w:r>
        <w:rPr>
          <w:rFonts w:ascii="Noto Sans" w:hAnsi="Noto Sans"/>
          <w:b/>
          <w:i w:val="0"/>
          <w:color w:val="1B1F23"/>
          <w:sz w:val="21"/>
        </w:rPr>
        <w:t>If another competent developer cannot reasonably work from the resulting contracts and evidence without reconstructing hidden assumptions from the reference implementation, that is a material failure of the tranche regardless of how much software was written.</w:t>
      </w:r>
    </w:p>
    <w:p>
      <w:pPr>
        <w:pStyle w:val="Heading1"/>
        <w:spacing w:before="240" w:after="100"/>
      </w:pPr>
      <w:r>
        <w:rPr>
          <w:rFonts w:ascii="Noto Sans" w:hAnsi="Noto Sans"/>
          <w:b/>
          <w:color w:val="17324D"/>
          <w:sz w:val="32"/>
        </w:rPr>
        <w:t>20. Risks and Failure Modes</w:t>
      </w:r>
    </w:p>
    <w:p>
      <w:pPr>
        <w:spacing w:before="0" w:after="100" w:line="269" w:lineRule="auto"/>
      </w:pPr>
      <w:r>
        <w:rPr>
          <w:rFonts w:ascii="Noto Sans" w:hAnsi="Noto Sans"/>
          <w:b/>
          <w:color w:val="17324D"/>
          <w:sz w:val="20"/>
        </w:rPr>
        <w:t xml:space="preserve">Integration contradiction: </w:t>
      </w:r>
      <w:r>
        <w:rPr>
          <w:rFonts w:ascii="Noto Sans" w:hAnsi="Noto Sans"/>
          <w:color w:val="1B1F23"/>
          <w:sz w:val="20"/>
        </w:rPr>
        <w:t>Contracts that appeared sound separately may conflict when composed. The response is to preserve the failing evidence and revise the smallest affected contract rather than forcing integration to pass.</w:t>
      </w:r>
    </w:p>
    <w:p>
      <w:pPr>
        <w:spacing w:before="0" w:after="100" w:line="269" w:lineRule="auto"/>
      </w:pPr>
      <w:r>
        <w:rPr>
          <w:rFonts w:ascii="Noto Sans" w:hAnsi="Noto Sans"/>
          <w:b/>
          <w:color w:val="17324D"/>
          <w:sz w:val="20"/>
        </w:rPr>
        <w:t xml:space="preserve">False implementation diversity: </w:t>
      </w:r>
      <w:r>
        <w:rPr>
          <w:rFonts w:ascii="Noto Sans" w:hAnsi="Noto Sans"/>
          <w:color w:val="1B1F23"/>
          <w:sz w:val="20"/>
        </w:rPr>
        <w:t>Two codebases may share enough assumptions that they do not constitute meaningful independent pressure. The response is to change implementation pressure rather than count nominal independence as evidence.</w:t>
      </w:r>
    </w:p>
    <w:p>
      <w:pPr>
        <w:spacing w:before="0" w:after="100" w:line="269" w:lineRule="auto"/>
      </w:pPr>
      <w:r>
        <w:rPr>
          <w:rFonts w:ascii="Noto Sans" w:hAnsi="Noto Sans"/>
          <w:b/>
          <w:color w:val="17324D"/>
          <w:sz w:val="20"/>
        </w:rPr>
        <w:t xml:space="preserve">A bounded item proves architecturally deeper: </w:t>
      </w:r>
      <w:r>
        <w:rPr>
          <w:rFonts w:ascii="Noto Sans" w:hAnsi="Noto Sans"/>
          <w:color w:val="1B1F23"/>
          <w:sz w:val="20"/>
        </w:rPr>
        <w:t>The newly discovered problem will be bounded, valid portions preserved, and the unresolved part carried explicitly into the tranche-end assessment.</w:t>
      </w:r>
    </w:p>
    <w:p>
      <w:pPr>
        <w:spacing w:before="0" w:after="100" w:line="269" w:lineRule="auto"/>
      </w:pPr>
      <w:r>
        <w:rPr>
          <w:rFonts w:ascii="Noto Sans" w:hAnsi="Noto Sans"/>
          <w:b/>
          <w:color w:val="17324D"/>
          <w:sz w:val="20"/>
        </w:rPr>
        <w:t xml:space="preserve">Second-developer onboarding: </w:t>
      </w:r>
      <w:r>
        <w:rPr>
          <w:rFonts w:ascii="Noto Sans" w:hAnsi="Noto Sans"/>
          <w:color w:val="1B1F23"/>
          <w:sz w:val="20"/>
        </w:rPr>
        <w:t>Selection occurs after funding. If onboarding is delayed, contract hardening can proceed, but the tranche will not claim independent-implementation qualification that has not occurred.</w:t>
      </w:r>
    </w:p>
    <w:p>
      <w:pPr>
        <w:spacing w:before="0" w:after="100" w:line="269" w:lineRule="auto"/>
      </w:pPr>
      <w:r>
        <w:rPr>
          <w:rFonts w:ascii="Noto Sans" w:hAnsi="Noto Sans"/>
          <w:b/>
          <w:color w:val="17324D"/>
          <w:sz w:val="20"/>
        </w:rPr>
        <w:t xml:space="preserve">External infrastructure complexity: </w:t>
      </w:r>
      <w:r>
        <w:rPr>
          <w:rFonts w:ascii="Noto Sans" w:hAnsi="Noto Sans"/>
          <w:color w:val="1B1F23"/>
          <w:sz w:val="20"/>
        </w:rPr>
        <w:t>Multi-host or independent-failure-domain testing may prove more expensive or operationally difficult than expected. The six-week tranche prioritizes semantic, conformance, and integration evidence; weeks 7–8 provide greater room for external qualification.</w:t>
      </w:r>
    </w:p>
    <w:p>
      <w:pPr>
        <w:spacing w:before="0" w:after="100" w:line="269" w:lineRule="auto"/>
      </w:pPr>
      <w:r>
        <w:rPr>
          <w:rFonts w:ascii="Noto Sans" w:hAnsi="Noto Sans"/>
          <w:b/>
          <w:color w:val="17324D"/>
          <w:sz w:val="20"/>
        </w:rPr>
        <w:t xml:space="preserve">Centralization through convenience: </w:t>
      </w:r>
      <w:r>
        <w:rPr>
          <w:rFonts w:ascii="Noto Sans" w:hAnsi="Noto Sans"/>
          <w:color w:val="1B1F23"/>
          <w:sz w:val="20"/>
        </w:rPr>
        <w:t>A successful reference implementation, relay, infrastructure provider, development team, or funder can become assumed infrastructure. The review explicitly asks whether important components remain replaceable.</w:t>
      </w:r>
    </w:p>
    <w:p>
      <w:pPr>
        <w:spacing w:before="0" w:after="120" w:line="269" w:lineRule="auto"/>
      </w:pPr>
      <w:r>
        <w:rPr>
          <w:rFonts w:ascii="Noto Sans" w:hAnsi="Noto Sans"/>
          <w:b w:val="0"/>
          <w:i/>
          <w:color w:val="5D6770"/>
          <w:sz w:val="21"/>
        </w:rPr>
        <w:t>An engineering failure converted into bounded, reproducible evidence can be more valuable than an apparent success that conceals an unresolved dependency.</w:t>
      </w:r>
    </w:p>
    <w:p>
      <w:pPr>
        <w:pStyle w:val="Heading1"/>
        <w:spacing w:before="240" w:after="100"/>
      </w:pPr>
      <w:r>
        <w:rPr>
          <w:rFonts w:ascii="Noto Sans" w:hAnsi="Noto Sans"/>
          <w:b/>
          <w:color w:val="17324D"/>
          <w:sz w:val="32"/>
        </w:rPr>
        <w:t>21. Team and Organizational Capacity</w:t>
      </w:r>
    </w:p>
    <w:p>
      <w:pPr>
        <w:pStyle w:val="Heading2"/>
        <w:spacing w:before="160" w:after="100"/>
      </w:pPr>
      <w:r>
        <w:rPr>
          <w:rFonts w:ascii="Noto Sans" w:hAnsi="Noto Sans"/>
          <w:b/>
          <w:color w:val="17324D"/>
          <w:sz w:val="26"/>
        </w:rPr>
        <w:t>Matthew Raymer — Lead Developer</w:t>
      </w:r>
    </w:p>
    <w:p>
      <w:pPr>
        <w:spacing w:before="0" w:after="120" w:line="269" w:lineRule="auto"/>
      </w:pPr>
      <w:r>
        <w:rPr>
          <w:rFonts w:ascii="Noto Sans" w:hAnsi="Noto Sans"/>
          <w:b w:val="0"/>
          <w:i w:val="0"/>
          <w:color w:val="1B1F23"/>
          <w:sz w:val="21"/>
        </w:rPr>
        <w:t>Matthew Raymer will serve as lead developer, with primary responsibility for Base-Layer architecture, contract development, implementation integration, conformance engineering, technical adjudication, and tranche delivery.</w:t>
      </w:r>
    </w:p>
    <w:p>
      <w:pPr>
        <w:spacing w:before="0" w:after="120" w:line="269" w:lineRule="auto"/>
      </w:pPr>
      <w:r>
        <w:rPr>
          <w:rFonts w:ascii="Noto Sans" w:hAnsi="Noto Sans"/>
          <w:b w:val="0"/>
          <w:i w:val="0"/>
          <w:color w:val="1B1F23"/>
          <w:sz w:val="21"/>
        </w:rPr>
        <w:t>Raymer's work spans distributed systems, software infrastructure, automation, evidence-driven engineering, content distribution, search architecture, and long-form technical and historical research. He is the principal architect and developer behind the current DSEARCH effort, including its comparative distributed-search research, Base-Layer semantics, executable conformance vectors, and implementation qualification work.</w:t>
      </w:r>
    </w:p>
    <w:p>
      <w:pPr>
        <w:spacing w:before="0" w:after="120" w:line="269" w:lineRule="auto"/>
      </w:pPr>
      <w:r>
        <w:rPr>
          <w:rFonts w:ascii="Noto Sans" w:hAnsi="Noto Sans"/>
          <w:b w:val="0"/>
          <w:i w:val="0"/>
          <w:color w:val="1B1F23"/>
          <w:sz w:val="21"/>
        </w:rPr>
        <w:t>He has followed decentralized-search technology for more than a decade, including YaCy from approximately 2013, providing a long comparative perspective on peer crawling, distributed indexing, replication, discovery, and query routing.</w:t>
      </w:r>
    </w:p>
    <w:p>
      <w:pPr>
        <w:spacing w:before="0" w:after="120" w:line="269" w:lineRule="auto"/>
      </w:pPr>
      <w:r>
        <w:rPr>
          <w:rFonts w:ascii="Noto Sans" w:hAnsi="Noto Sans"/>
          <w:b w:val="0"/>
          <w:i w:val="0"/>
          <w:color w:val="1B1F23"/>
          <w:sz w:val="21"/>
        </w:rPr>
        <w:t>Raymer is also the principal developer of Project Console, an evidence-oriented software-development and operational-control system used to manage complex multi-project engineering work. Project Console includes deterministic operator workflows, execution-evidence capture, qualification of source and runtime baselines, blocker and obligation tracking, reproducible handbacks, and controlled work across multiple repositories and execution environments.</w:t>
      </w:r>
    </w:p>
    <w:p>
      <w:pPr>
        <w:spacing w:before="0" w:after="120" w:line="269" w:lineRule="auto"/>
      </w:pPr>
      <w:r>
        <w:rPr>
          <w:rFonts w:ascii="Noto Sans" w:hAnsi="Noto Sans"/>
          <w:b w:val="0"/>
          <w:i w:val="0"/>
          <w:color w:val="1B1F23"/>
          <w:sz w:val="21"/>
        </w:rPr>
        <w:t>His ContentSafe work provides a separate body of practical content-distribution and automation experience across external media systems, browser- and API-mediated publication, asynchronous status tracking, authentication change, partial failure, retries, evidence capture, migration, and recovery.</w:t>
      </w:r>
    </w:p>
    <w:p>
      <w:pPr>
        <w:spacing w:before="0" w:after="120" w:line="269" w:lineRule="auto"/>
      </w:pPr>
      <w:r>
        <w:rPr>
          <w:rFonts w:ascii="Noto Sans" w:hAnsi="Noto Sans"/>
          <w:b w:val="0"/>
          <w:i w:val="0"/>
          <w:color w:val="1B1F23"/>
          <w:sz w:val="21"/>
        </w:rPr>
        <w:t>His infrastructure work includes Linux systems administration, Docker-based deployment, multi-host execution, repository and workspace orchestration, remote execution, state and artifact transfer, cryptographic verification of handoffs, deployment qualification, and operational evidence collection.</w:t>
      </w:r>
    </w:p>
    <w:p>
      <w:pPr>
        <w:spacing w:before="0" w:after="120" w:line="269" w:lineRule="auto"/>
      </w:pPr>
      <w:r>
        <w:rPr>
          <w:rFonts w:ascii="Noto Sans" w:hAnsi="Noto Sans"/>
          <w:b w:val="0"/>
          <w:i w:val="0"/>
          <w:color w:val="1B1F23"/>
          <w:sz w:val="21"/>
        </w:rPr>
        <w:t>Raymer has also worked on TimeSafari-related efforts with Trent Larson, providing direct exposure to cryptographic identity, provenance, community-oriented systems, and the practical problem of establishing trustworthy records without concentrating authority in a conventional central operator.</w:t>
      </w:r>
    </w:p>
    <w:p>
      <w:pPr>
        <w:spacing w:before="0" w:after="120" w:line="269" w:lineRule="auto"/>
      </w:pPr>
      <w:r>
        <w:rPr>
          <w:rFonts w:ascii="Noto Sans" w:hAnsi="Noto Sans"/>
          <w:b w:val="0"/>
          <w:i w:val="0"/>
          <w:color w:val="1B1F23"/>
          <w:sz w:val="21"/>
        </w:rPr>
        <w:t>Alongside software work, Raymer has conducted substantial historical and documentary research. The same evidentiary discipline—distinguishing source evidence from interpretation, preserving contradictory evidence, tracking provenance, avoiding false independence, and keeping conclusions below the evidence ceiling—has become explicit in the DSEARCH architecture.</w:t>
      </w:r>
    </w:p>
    <w:p>
      <w:pPr>
        <w:pStyle w:val="Heading2"/>
        <w:spacing w:before="160" w:after="100"/>
      </w:pPr>
      <w:r>
        <w:rPr>
          <w:rFonts w:ascii="Noto Sans" w:hAnsi="Noto Sans"/>
          <w:b/>
          <w:color w:val="17324D"/>
          <w:sz w:val="26"/>
        </w:rPr>
        <w:t>Second Developer</w:t>
      </w:r>
    </w:p>
    <w:p>
      <w:pPr>
        <w:spacing w:before="0" w:after="120" w:line="269" w:lineRule="auto"/>
      </w:pPr>
      <w:r>
        <w:rPr>
          <w:rFonts w:ascii="Noto Sans" w:hAnsi="Noto Sans"/>
          <w:b w:val="0"/>
          <w:i w:val="0"/>
          <w:color w:val="1B1F23"/>
          <w:sz w:val="21"/>
        </w:rPr>
        <w:t>A second experienced developer will be selected upon funding. Selection will emphasize the ability to work independently from the contracts rather than merely reproduce the reference implementation. If that developer cannot independently understand or implement a contract without substantial undocumented knowledge from the lead developer, that is evidence that the contract or documentation requires additional work.</w:t>
      </w:r>
    </w:p>
    <w:p>
      <w:pPr>
        <w:pStyle w:val="Heading2"/>
        <w:spacing w:before="160" w:after="100"/>
      </w:pPr>
      <w:r>
        <w:rPr>
          <w:rFonts w:ascii="Noto Sans" w:hAnsi="Noto Sans"/>
          <w:b/>
          <w:color w:val="17324D"/>
          <w:sz w:val="26"/>
        </w:rPr>
        <w:t>Support Staff</w:t>
      </w:r>
    </w:p>
    <w:p>
      <w:pPr>
        <w:spacing w:before="0" w:after="120" w:line="269" w:lineRule="auto"/>
      </w:pPr>
      <w:r>
        <w:rPr>
          <w:rFonts w:ascii="Noto Sans" w:hAnsi="Noto Sans"/>
          <w:b w:val="0"/>
          <w:i w:val="0"/>
          <w:color w:val="1B1F23"/>
          <w:sz w:val="21"/>
        </w:rPr>
        <w:t>Peter Smith — Human Document Editor. Light, part-time support for technical and funder-facing documentation, clarity, consistency, and human review.</w:t>
      </w:r>
    </w:p>
    <w:p>
      <w:pPr>
        <w:spacing w:before="0" w:after="120" w:line="269" w:lineRule="auto"/>
      </w:pPr>
      <w:r>
        <w:rPr>
          <w:rFonts w:ascii="Noto Sans" w:hAnsi="Noto Sans"/>
          <w:b w:val="0"/>
          <w:i w:val="0"/>
          <w:color w:val="1B1F23"/>
          <w:sz w:val="21"/>
        </w:rPr>
        <w:t>Mark Raymer — Office Administration. Matthew Raymer's brother and primary business partner in Anomalist Design LLC. Light, part-time support for administrative coordination, project records, scheduling, business administration, and office functions.</w:t>
      </w:r>
    </w:p>
    <w:p>
      <w:pPr>
        <w:spacing w:before="0" w:after="120" w:line="269" w:lineRule="auto"/>
      </w:pPr>
      <w:r>
        <w:rPr>
          <w:rFonts w:ascii="Noto Sans" w:hAnsi="Noto Sans"/>
          <w:b w:val="0"/>
          <w:i w:val="0"/>
          <w:color w:val="1B1F23"/>
          <w:sz w:val="21"/>
        </w:rPr>
        <w:t>Jose Olarte — Systems Administration. Light, part-time support for hosts, test and development infrastructure, deployment environments, and multi-system qualification.</w:t>
      </w:r>
    </w:p>
    <w:p>
      <w:pPr>
        <w:spacing w:before="0" w:after="120" w:line="269" w:lineRule="auto"/>
      </w:pPr>
      <w:r>
        <w:rPr>
          <w:rFonts w:ascii="Noto Sans" w:hAnsi="Noto Sans"/>
          <w:b w:val="0"/>
          <w:i w:val="0"/>
          <w:color w:val="1B1F23"/>
          <w:sz w:val="21"/>
        </w:rPr>
        <w:t>The support roles are operational contributions to the agreed tranche, generally requiring only a few hours per week as needed. They are not presented as three full-time positions or as an independent protocol-governance body.</w:t>
      </w:r>
    </w:p>
    <w:p>
      <w:pPr>
        <w:pStyle w:val="Heading1"/>
        <w:spacing w:before="240" w:after="100"/>
      </w:pPr>
      <w:r>
        <w:rPr>
          <w:rFonts w:ascii="Noto Sans" w:hAnsi="Noto Sans"/>
          <w:b/>
          <w:color w:val="17324D"/>
          <w:sz w:val="32"/>
        </w:rPr>
        <w:t>22. Budget and Infrastructure</w:t>
      </w:r>
    </w:p>
    <w:tbl>
      <w:tblPr>
        <w:tblW w:type="auto" w:w="0"/>
        <w:jc w:val="center"/>
        <w:tblLook w:firstColumn="1" w:firstRow="1" w:lastColumn="0" w:lastRow="0" w:noHBand="0" w:noVBand="1" w:val="04A0"/>
      </w:tblPr>
      <w:tblGrid>
        <w:gridCol w:w="2498"/>
        <w:gridCol w:w="2498"/>
        <w:gridCol w:w="2498"/>
        <w:gridCol w:w="2498"/>
      </w:tblGrid>
      <w:tr>
        <w:tc>
          <w:tcPr>
            <w:tcW w:type="dxa" w:w="2498"/>
            <w:shd w:fill="17324D"/>
            <w:tcMar>
              <w:top w:w="100" w:type="dxa"/>
              <w:start w:w="120" w:type="dxa"/>
              <w:bottom w:w="100" w:type="dxa"/>
              <w:end w:w="120" w:type="dxa"/>
            </w:tcMar>
          </w:tcPr>
          <w:p>
            <w:r>
              <w:rPr>
                <w:rFonts w:ascii="Noto Sans" w:hAnsi="Noto Sans"/>
                <w:b/>
                <w:color w:val="FFFFFF"/>
                <w:sz w:val="18"/>
              </w:rPr>
              <w:t>Project allocation</w:t>
            </w:r>
          </w:p>
        </w:tc>
        <w:tc>
          <w:tcPr>
            <w:tcW w:type="dxa" w:w="2498"/>
            <w:shd w:fill="17324D"/>
            <w:tcMar>
              <w:top w:w="100" w:type="dxa"/>
              <w:start w:w="120" w:type="dxa"/>
              <w:bottom w:w="100" w:type="dxa"/>
              <w:end w:w="120" w:type="dxa"/>
            </w:tcMar>
          </w:tcPr>
          <w:p>
            <w:r>
              <w:rPr>
                <w:rFonts w:ascii="Noto Sans" w:hAnsi="Noto Sans"/>
                <w:b/>
                <w:color w:val="FFFFFF"/>
                <w:sz w:val="18"/>
              </w:rPr>
              <w:t>Per week</w:t>
            </w:r>
          </w:p>
        </w:tc>
        <w:tc>
          <w:tcPr>
            <w:tcW w:type="dxa" w:w="2498"/>
            <w:shd w:fill="17324D"/>
            <w:tcMar>
              <w:top w:w="100" w:type="dxa"/>
              <w:start w:w="120" w:type="dxa"/>
              <w:bottom w:w="100" w:type="dxa"/>
              <w:end w:w="120" w:type="dxa"/>
            </w:tcMar>
          </w:tcPr>
          <w:p>
            <w:r>
              <w:rPr>
                <w:rFonts w:ascii="Noto Sans" w:hAnsi="Noto Sans"/>
                <w:b/>
                <w:color w:val="FFFFFF"/>
                <w:sz w:val="18"/>
              </w:rPr>
              <w:t>Six weeks</w:t>
            </w:r>
          </w:p>
        </w:tc>
        <w:tc>
          <w:tcPr>
            <w:tcW w:type="dxa" w:w="2498"/>
            <w:shd w:fill="17324D"/>
            <w:tcMar>
              <w:top w:w="100" w:type="dxa"/>
              <w:start w:w="120" w:type="dxa"/>
              <w:bottom w:w="100" w:type="dxa"/>
              <w:end w:w="120" w:type="dxa"/>
            </w:tcMar>
          </w:tcPr>
          <w:p>
            <w:r>
              <w:rPr>
                <w:rFonts w:ascii="Noto Sans" w:hAnsi="Noto Sans"/>
                <w:b/>
                <w:color w:val="FFFFFF"/>
                <w:sz w:val="18"/>
              </w:rPr>
              <w:t>Eight weeks</w:t>
            </w:r>
          </w:p>
        </w:tc>
      </w:tr>
      <w:tr>
        <w:tc>
          <w:tcPr>
            <w:tcW w:type="dxa" w:w="2498"/>
            <w:tcMar>
              <w:top w:w="100" w:type="dxa"/>
              <w:start w:w="120" w:type="dxa"/>
              <w:bottom w:w="100" w:type="dxa"/>
              <w:end w:w="120" w:type="dxa"/>
            </w:tcMar>
          </w:tcPr>
          <w:p>
            <w:r>
              <w:rPr>
                <w:rFonts w:ascii="Noto Sans" w:hAnsi="Noto Sans"/>
                <w:color w:val="1B1F23"/>
                <w:sz w:val="18"/>
              </w:rPr>
              <w:t>Matthew Raymer — Lead Developer</w:t>
            </w:r>
          </w:p>
        </w:tc>
        <w:tc>
          <w:tcPr>
            <w:tcW w:type="dxa" w:w="2498"/>
            <w:tcMar>
              <w:top w:w="100" w:type="dxa"/>
              <w:start w:w="120" w:type="dxa"/>
              <w:bottom w:w="100" w:type="dxa"/>
              <w:end w:w="120" w:type="dxa"/>
            </w:tcMar>
          </w:tcPr>
          <w:p>
            <w:r>
              <w:rPr>
                <w:rFonts w:ascii="Noto Sans" w:hAnsi="Noto Sans"/>
                <w:color w:val="1B1F23"/>
                <w:sz w:val="18"/>
              </w:rPr>
              <w:t>$1,600</w:t>
            </w:r>
          </w:p>
        </w:tc>
        <w:tc>
          <w:tcPr>
            <w:tcW w:type="dxa" w:w="2498"/>
            <w:tcMar>
              <w:top w:w="100" w:type="dxa"/>
              <w:start w:w="120" w:type="dxa"/>
              <w:bottom w:w="100" w:type="dxa"/>
              <w:end w:w="120" w:type="dxa"/>
            </w:tcMar>
          </w:tcPr>
          <w:p>
            <w:r>
              <w:rPr>
                <w:rFonts w:ascii="Noto Sans" w:hAnsi="Noto Sans"/>
                <w:color w:val="1B1F23"/>
                <w:sz w:val="18"/>
              </w:rPr>
              <w:t>$9,600</w:t>
            </w:r>
          </w:p>
        </w:tc>
        <w:tc>
          <w:tcPr>
            <w:tcW w:type="dxa" w:w="2498"/>
            <w:tcMar>
              <w:top w:w="100" w:type="dxa"/>
              <w:start w:w="120" w:type="dxa"/>
              <w:bottom w:w="100" w:type="dxa"/>
              <w:end w:w="120" w:type="dxa"/>
            </w:tcMar>
          </w:tcPr>
          <w:p>
            <w:r>
              <w:rPr>
                <w:rFonts w:ascii="Noto Sans" w:hAnsi="Noto Sans"/>
                <w:color w:val="1B1F23"/>
                <w:sz w:val="18"/>
              </w:rPr>
              <w:t>$12,800</w:t>
            </w:r>
          </w:p>
        </w:tc>
      </w:tr>
      <w:tr>
        <w:tc>
          <w:tcPr>
            <w:tcW w:type="dxa" w:w="2498"/>
            <w:tcMar>
              <w:top w:w="100" w:type="dxa"/>
              <w:start w:w="120" w:type="dxa"/>
              <w:bottom w:w="100" w:type="dxa"/>
              <w:end w:w="120" w:type="dxa"/>
            </w:tcMar>
            <w:shd w:fill="F5F7F8"/>
          </w:tcPr>
          <w:p>
            <w:r>
              <w:rPr>
                <w:rFonts w:ascii="Noto Sans" w:hAnsi="Noto Sans"/>
                <w:color w:val="1B1F23"/>
                <w:sz w:val="18"/>
              </w:rPr>
              <w:t>Second Developer</w:t>
            </w:r>
          </w:p>
        </w:tc>
        <w:tc>
          <w:tcPr>
            <w:tcW w:type="dxa" w:w="2498"/>
            <w:tcMar>
              <w:top w:w="100" w:type="dxa"/>
              <w:start w:w="120" w:type="dxa"/>
              <w:bottom w:w="100" w:type="dxa"/>
              <w:end w:w="120" w:type="dxa"/>
            </w:tcMar>
            <w:shd w:fill="F5F7F8"/>
          </w:tcPr>
          <w:p>
            <w:r>
              <w:rPr>
                <w:rFonts w:ascii="Noto Sans" w:hAnsi="Noto Sans"/>
                <w:color w:val="1B1F23"/>
                <w:sz w:val="18"/>
              </w:rPr>
              <w:t>$800</w:t>
            </w:r>
          </w:p>
        </w:tc>
        <w:tc>
          <w:tcPr>
            <w:tcW w:type="dxa" w:w="2498"/>
            <w:tcMar>
              <w:top w:w="100" w:type="dxa"/>
              <w:start w:w="120" w:type="dxa"/>
              <w:bottom w:w="100" w:type="dxa"/>
              <w:end w:w="120" w:type="dxa"/>
            </w:tcMar>
            <w:shd w:fill="F5F7F8"/>
          </w:tcPr>
          <w:p>
            <w:r>
              <w:rPr>
                <w:rFonts w:ascii="Noto Sans" w:hAnsi="Noto Sans"/>
                <w:color w:val="1B1F23"/>
                <w:sz w:val="18"/>
              </w:rPr>
              <w:t>$4,800</w:t>
            </w:r>
          </w:p>
        </w:tc>
        <w:tc>
          <w:tcPr>
            <w:tcW w:type="dxa" w:w="2498"/>
            <w:tcMar>
              <w:top w:w="100" w:type="dxa"/>
              <w:start w:w="120" w:type="dxa"/>
              <w:bottom w:w="100" w:type="dxa"/>
              <w:end w:w="120" w:type="dxa"/>
            </w:tcMar>
            <w:shd w:fill="F5F7F8"/>
          </w:tcPr>
          <w:p>
            <w:r>
              <w:rPr>
                <w:rFonts w:ascii="Noto Sans" w:hAnsi="Noto Sans"/>
                <w:color w:val="1B1F23"/>
                <w:sz w:val="18"/>
              </w:rPr>
              <w:t>$6,400</w:t>
            </w:r>
          </w:p>
        </w:tc>
      </w:tr>
      <w:tr>
        <w:tc>
          <w:tcPr>
            <w:tcW w:type="dxa" w:w="2498"/>
            <w:tcMar>
              <w:top w:w="100" w:type="dxa"/>
              <w:start w:w="120" w:type="dxa"/>
              <w:bottom w:w="100" w:type="dxa"/>
              <w:end w:w="120" w:type="dxa"/>
            </w:tcMar>
          </w:tcPr>
          <w:p>
            <w:r>
              <w:rPr>
                <w:rFonts w:ascii="Noto Sans" w:hAnsi="Noto Sans"/>
                <w:color w:val="1B1F23"/>
                <w:sz w:val="18"/>
              </w:rPr>
              <w:t>Support, infrastructure and operations</w:t>
            </w:r>
          </w:p>
        </w:tc>
        <w:tc>
          <w:tcPr>
            <w:tcW w:type="dxa" w:w="2498"/>
            <w:tcMar>
              <w:top w:w="100" w:type="dxa"/>
              <w:start w:w="120" w:type="dxa"/>
              <w:bottom w:w="100" w:type="dxa"/>
              <w:end w:w="120" w:type="dxa"/>
            </w:tcMar>
          </w:tcPr>
          <w:p>
            <w:r>
              <w:rPr>
                <w:rFonts w:ascii="Noto Sans" w:hAnsi="Noto Sans"/>
                <w:color w:val="1B1F23"/>
                <w:sz w:val="18"/>
              </w:rPr>
              <w:t>$600</w:t>
            </w:r>
          </w:p>
        </w:tc>
        <w:tc>
          <w:tcPr>
            <w:tcW w:type="dxa" w:w="2498"/>
            <w:tcMar>
              <w:top w:w="100" w:type="dxa"/>
              <w:start w:w="120" w:type="dxa"/>
              <w:bottom w:w="100" w:type="dxa"/>
              <w:end w:w="120" w:type="dxa"/>
            </w:tcMar>
          </w:tcPr>
          <w:p>
            <w:r>
              <w:rPr>
                <w:rFonts w:ascii="Noto Sans" w:hAnsi="Noto Sans"/>
                <w:color w:val="1B1F23"/>
                <w:sz w:val="18"/>
              </w:rPr>
              <w:t>$3,600</w:t>
            </w:r>
          </w:p>
        </w:tc>
        <w:tc>
          <w:tcPr>
            <w:tcW w:type="dxa" w:w="2498"/>
            <w:tcMar>
              <w:top w:w="100" w:type="dxa"/>
              <w:start w:w="120" w:type="dxa"/>
              <w:bottom w:w="100" w:type="dxa"/>
              <w:end w:w="120" w:type="dxa"/>
            </w:tcMar>
          </w:tcPr>
          <w:p>
            <w:r>
              <w:rPr>
                <w:rFonts w:ascii="Noto Sans" w:hAnsi="Noto Sans"/>
                <w:color w:val="1B1F23"/>
                <w:sz w:val="18"/>
              </w:rPr>
              <w:t>$4,800</w:t>
            </w:r>
          </w:p>
        </w:tc>
      </w:tr>
    </w:tbl>
    <w:p>
      <w:pPr>
        <w:spacing w:after="40"/>
      </w:pPr>
    </w:p>
    <w:p>
      <w:pPr>
        <w:spacing w:before="0" w:after="120" w:line="269" w:lineRule="auto"/>
      </w:pPr>
      <w:r>
        <w:rPr>
          <w:rFonts w:ascii="Noto Sans" w:hAnsi="Noto Sans"/>
          <w:b w:val="0"/>
          <w:i w:val="0"/>
          <w:color w:val="1B1F23"/>
          <w:sz w:val="21"/>
        </w:rPr>
        <w:t>The $600 weekly support and infrastructure allocation is fully part of the stated tranche budget rather than an additional charge. It covers the part-time contributions of Peter Smith, Mark Raymer, and Jose Olarte together with AI model/API costs, test machines, temporary or dedicated test environments, additional development hardware where required, systems-administration time, documentation and evidence management, project administration, infrastructure maintenance, and ordinary operational resources required to execute the tranche.</w:t>
      </w:r>
    </w:p>
    <w:p>
      <w:pPr>
        <w:spacing w:before="0" w:after="120" w:line="269" w:lineRule="auto"/>
      </w:pPr>
      <w:r>
        <w:rPr>
          <w:rFonts w:ascii="Noto Sans" w:hAnsi="Noto Sans"/>
          <w:b w:val="0"/>
          <w:i w:val="0"/>
          <w:color w:val="1B1F23"/>
          <w:sz w:val="21"/>
        </w:rPr>
        <w:t>The mix may vary by week according to the engineering work. No additional routine infrastructure surcharge is contemplated within the agreed tranche budget.</w:t>
      </w:r>
    </w:p>
    <w:p>
      <w:pPr>
        <w:pStyle w:val="Heading1"/>
        <w:spacing w:before="240" w:after="100"/>
      </w:pPr>
      <w:r>
        <w:rPr>
          <w:rFonts w:ascii="Noto Sans" w:hAnsi="Noto Sans"/>
          <w:b/>
          <w:color w:val="17324D"/>
          <w:sz w:val="32"/>
        </w:rPr>
        <w:t>23. Contracting and Payment</w:t>
      </w:r>
    </w:p>
    <w:p>
      <w:pPr>
        <w:spacing w:before="0" w:after="120" w:line="269" w:lineRule="auto"/>
      </w:pPr>
      <w:r>
        <w:rPr>
          <w:rFonts w:ascii="Noto Sans" w:hAnsi="Noto Sans"/>
          <w:b w:val="0"/>
          <w:i w:val="0"/>
          <w:color w:val="1B1F23"/>
          <w:sz w:val="21"/>
        </w:rPr>
        <w:t>Anomalist Design LLC is the contracting entity. It will enter into the funding agreement, receive the tranche payment, administer project expenditures, and serve as the contractual point of accountability.</w:t>
      </w:r>
    </w:p>
    <w:p>
      <w:pPr>
        <w:spacing w:before="0" w:after="120" w:line="269" w:lineRule="auto"/>
      </w:pPr>
      <w:r>
        <w:rPr>
          <w:rFonts w:ascii="Noto Sans" w:hAnsi="Noto Sans"/>
          <w:b w:val="0"/>
          <w:i w:val="0"/>
          <w:color w:val="1B1F23"/>
          <w:sz w:val="21"/>
        </w:rPr>
        <w:t>The six- or eight-week tranche will be funded in advance. Anomalist Design LLC is flexible as to payment mechanism; payment may be made through any mutually agreed lawful transaction method acceptable to both parties.</w:t>
      </w:r>
    </w:p>
    <w:p>
      <w:pPr>
        <w:spacing w:before="0" w:after="120" w:line="269" w:lineRule="auto"/>
      </w:pPr>
      <w:r>
        <w:rPr>
          <w:rFonts w:ascii="Noto Sans" w:hAnsi="Noto Sans"/>
          <w:b w:val="0"/>
          <w:i w:val="0"/>
          <w:color w:val="1B1F23"/>
          <w:sz w:val="21"/>
        </w:rPr>
        <w:t>The tranche does not include a refund provision for prepaid but unearned time. This commercial term is paired with the continuous-publication model described below and the bounded six- or eight-week commitment. There is no automatic continuation.</w:t>
      </w:r>
    </w:p>
    <w:p>
      <w:pPr>
        <w:pStyle w:val="Heading1"/>
        <w:spacing w:before="240" w:after="100"/>
      </w:pPr>
      <w:r>
        <w:rPr>
          <w:rFonts w:ascii="Noto Sans" w:hAnsi="Noto Sans"/>
          <w:b/>
          <w:color w:val="17324D"/>
          <w:sz w:val="32"/>
        </w:rPr>
        <w:t>24. Continuous Public Accountability</w:t>
      </w:r>
    </w:p>
    <w:p>
      <w:pPr>
        <w:spacing w:before="0" w:after="120" w:line="269" w:lineRule="auto"/>
      </w:pPr>
      <w:r>
        <w:rPr>
          <w:rFonts w:ascii="Noto Sans" w:hAnsi="Noto Sans"/>
          <w:b w:val="0"/>
          <w:i w:val="0"/>
          <w:color w:val="1B1F23"/>
          <w:sz w:val="21"/>
        </w:rPr>
        <w:t>The project will maintain its public development record at https://gitea.anomalistdesign.com/dsearch/tranche1. This is the committed public repository for the funded tranche and will be identified as such in the funding agreement.</w:t>
      </w:r>
    </w:p>
    <w:p>
      <w:pPr>
        <w:pStyle w:val="ListBullet"/>
        <w:spacing w:after="60" w:line="259" w:lineRule="auto"/>
      </w:pPr>
      <w:r>
        <w:rPr>
          <w:rFonts w:ascii="Noto Sans" w:hAnsi="Noto Sans"/>
          <w:color w:val="1B1F23"/>
          <w:sz w:val="20"/>
        </w:rPr>
        <w:t>Source-code changes and commit history.</w:t>
      </w:r>
    </w:p>
    <w:p>
      <w:pPr>
        <w:pStyle w:val="ListBullet"/>
        <w:spacing w:after="60" w:line="259" w:lineRule="auto"/>
      </w:pPr>
      <w:r>
        <w:rPr>
          <w:rFonts w:ascii="Noto Sans" w:hAnsi="Noto Sans"/>
          <w:color w:val="1B1F23"/>
          <w:sz w:val="20"/>
        </w:rPr>
        <w:t>Daily working-cadence progress records when substantive project work occurs.</w:t>
      </w:r>
    </w:p>
    <w:p>
      <w:pPr>
        <w:pStyle w:val="ListBullet"/>
        <w:spacing w:after="60" w:line="259" w:lineRule="auto"/>
      </w:pPr>
      <w:r>
        <w:rPr>
          <w:rFonts w:ascii="Noto Sans" w:hAnsi="Noto Sans"/>
          <w:color w:val="1B1F23"/>
          <w:sz w:val="20"/>
        </w:rPr>
        <w:t>Architecture, research, contract, and schema artifacts.</w:t>
      </w:r>
    </w:p>
    <w:p>
      <w:pPr>
        <w:pStyle w:val="ListBullet"/>
        <w:spacing w:after="60" w:line="259" w:lineRule="auto"/>
      </w:pPr>
      <w:r>
        <w:rPr>
          <w:rFonts w:ascii="Noto Sans" w:hAnsi="Noto Sans"/>
          <w:color w:val="1B1F23"/>
          <w:sz w:val="20"/>
        </w:rPr>
        <w:t>Conformance and adversarial test results.</w:t>
      </w:r>
    </w:p>
    <w:p>
      <w:pPr>
        <w:pStyle w:val="ListBullet"/>
        <w:spacing w:after="60" w:line="259" w:lineRule="auto"/>
      </w:pPr>
      <w:r>
        <w:rPr>
          <w:rFonts w:ascii="Noto Sans" w:hAnsi="Noto Sans"/>
          <w:color w:val="1B1F23"/>
          <w:sz w:val="20"/>
        </w:rPr>
        <w:t>Evidence packages, manifests, material technical decisions, known failures, and unresolved questions.</w:t>
      </w:r>
    </w:p>
    <w:p>
      <w:pPr>
        <w:pStyle w:val="ListBullet"/>
        <w:spacing w:after="60" w:line="259" w:lineRule="auto"/>
      </w:pPr>
      <w:r>
        <w:rPr>
          <w:rFonts w:ascii="Noto Sans" w:hAnsi="Noto Sans"/>
          <w:color w:val="1B1F23"/>
          <w:sz w:val="20"/>
        </w:rPr>
        <w:t>Release-candidate documentation.</w:t>
      </w:r>
    </w:p>
    <w:p>
      <w:pPr>
        <w:pStyle w:val="ListBullet"/>
        <w:spacing w:after="60" w:line="259" w:lineRule="auto"/>
      </w:pPr>
      <w:r>
        <w:rPr>
          <w:rFonts w:ascii="Noto Sans" w:hAnsi="Noto Sans"/>
          <w:color w:val="1B1F23"/>
          <w:sz w:val="20"/>
        </w:rPr>
        <w:t>Records sufficient to identify and review material AI-assisted development and research work.</w:t>
      </w:r>
    </w:p>
    <w:p>
      <w:pPr>
        <w:spacing w:before="0" w:after="120" w:line="269" w:lineRule="auto"/>
      </w:pPr>
      <w:r>
        <w:rPr>
          <w:rFonts w:ascii="Noto Sans" w:hAnsi="Noto Sans"/>
          <w:b w:val="0"/>
          <w:i w:val="0"/>
          <w:color w:val="1B1F23"/>
          <w:sz w:val="21"/>
        </w:rPr>
        <w:t>The objective is to make the pace, direction, and substance of the tranche observable while work is being performed rather than reconstructing a favorable narrative at its conclusion.</w:t>
      </w:r>
    </w:p>
    <w:p>
      <w:pPr>
        <w:spacing w:before="0" w:after="120" w:line="269" w:lineRule="auto"/>
      </w:pPr>
      <w:r>
        <w:rPr>
          <w:rFonts w:ascii="Noto Sans" w:hAnsi="Noto Sans"/>
          <w:b w:val="0"/>
          <w:i w:val="0"/>
          <w:color w:val="1B1F23"/>
          <w:sz w:val="21"/>
        </w:rPr>
        <w:t>Continuous publication does not create a rolling technical-approval process. By funding the tranche, the funder is supporting the technical objective, scope, and development method set out in the funding package. The funder may inspect the public record, question progress, and request explanation of evidence, but funding does not confer protocol authority or a continuing veto over individual engineering decisions.</w:t>
      </w:r>
    </w:p>
    <w:p>
      <w:pPr>
        <w:pStyle w:val="Heading1"/>
        <w:spacing w:before="240" w:after="100"/>
      </w:pPr>
      <w:r>
        <w:rPr>
          <w:rFonts w:ascii="Noto Sans" w:hAnsi="Noto Sans"/>
          <w:b/>
          <w:color w:val="17324D"/>
          <w:sz w:val="32"/>
        </w:rPr>
        <w:t>25. AI-Assisted Work</w:t>
      </w:r>
    </w:p>
    <w:p>
      <w:pPr>
        <w:spacing w:before="0" w:after="120" w:line="269" w:lineRule="auto"/>
      </w:pPr>
      <w:r>
        <w:rPr>
          <w:rFonts w:ascii="Noto Sans" w:hAnsi="Noto Sans"/>
          <w:b w:val="0"/>
          <w:i w:val="0"/>
          <w:color w:val="1B1F23"/>
          <w:sz w:val="21"/>
        </w:rPr>
        <w:t>AI systems may materially assist research, architecture, implementation, debugging, test development, comparative analysis, documentation, or technical adjudication. Material AI-assisted work will be traceable through retained interaction records, structured summaries tied to resulting artifacts, prompts associated with material technical decisions, or other records sufficient to show how AI assistance materially contributed to the result.</w:t>
      </w:r>
    </w:p>
    <w:p>
      <w:pPr>
        <w:spacing w:before="0" w:after="120" w:line="269" w:lineRule="auto"/>
      </w:pPr>
      <w:r>
        <w:rPr>
          <w:rFonts w:ascii="Noto Sans" w:hAnsi="Noto Sans"/>
          <w:b w:val="0"/>
          <w:i w:val="0"/>
          <w:color w:val="1B1F23"/>
          <w:sz w:val="21"/>
        </w:rPr>
        <w:t>The requirement is substantive traceability rather than indiscriminate publication of every incidental machine interaction. AI-generated output does not become authoritative merely because it was generated or retained; technical claims remain subject to the same source, test, conformance, and evidence requirements as human-produced work.</w:t>
      </w:r>
    </w:p>
    <w:p>
      <w:pPr>
        <w:pStyle w:val="Heading1"/>
        <w:spacing w:before="240" w:after="100"/>
      </w:pPr>
      <w:r>
        <w:rPr>
          <w:rFonts w:ascii="Noto Sans" w:hAnsi="Noto Sans"/>
          <w:b/>
          <w:color w:val="17324D"/>
          <w:sz w:val="32"/>
        </w:rPr>
        <w:t>26. Disagreement and Technical Direction</w:t>
      </w:r>
    </w:p>
    <w:p>
      <w:pPr>
        <w:spacing w:before="0" w:after="120" w:line="269" w:lineRule="auto"/>
      </w:pPr>
      <w:r>
        <w:rPr>
          <w:rFonts w:ascii="Noto Sans" w:hAnsi="Noto Sans"/>
          <w:b w:val="0"/>
          <w:i w:val="0"/>
          <w:color w:val="1B1F23"/>
          <w:sz w:val="21"/>
        </w:rPr>
        <w:t>The technical vision of the tranche is established by the funding package. The support staff participate as operational contributors to that agreed technical program; they are not being presented as an independent governance or approval body.</w:t>
      </w:r>
    </w:p>
    <w:p>
      <w:pPr>
        <w:spacing w:before="0" w:after="120" w:line="269" w:lineRule="auto"/>
      </w:pPr>
      <w:r>
        <w:rPr>
          <w:rFonts w:ascii="Noto Sans" w:hAnsi="Noto Sans"/>
          <w:b w:val="0"/>
          <w:i w:val="0"/>
          <w:color w:val="1B1F23"/>
          <w:sz w:val="21"/>
        </w:rPr>
        <w:t>If testing falsifies an assumption, preserving and responding to that evidence is part of the work. A technical finding that changes a design choice is not automatically a breach of the agreed vision when the change follows the evidence and remains within the tranche's stated objectives.</w:t>
      </w:r>
    </w:p>
    <w:p>
      <w:pPr>
        <w:spacing w:before="0" w:after="120" w:line="269" w:lineRule="auto"/>
      </w:pPr>
      <w:r>
        <w:rPr>
          <w:rFonts w:ascii="Noto Sans" w:hAnsi="Noto Sans"/>
          <w:b w:val="0"/>
          <w:i w:val="0"/>
          <w:color w:val="1B1F23"/>
          <w:sz w:val="21"/>
        </w:rPr>
        <w:t>If a contractual or commercial disagreement cannot be resolved through direct discussion, it will be governed by the written funding agreement. This proposal does not create a separate mid-tranche cancellation, refund, technical-veto, or arbitration mechanism. The funder's principal financial control is the bounded commitment and the choice not to fund a subsequent tranche.</w:t>
      </w:r>
    </w:p>
    <w:p>
      <w:pPr>
        <w:pStyle w:val="Heading1"/>
        <w:spacing w:before="240" w:after="100"/>
      </w:pPr>
      <w:r>
        <w:rPr>
          <w:rFonts w:ascii="Noto Sans" w:hAnsi="Noto Sans"/>
          <w:b/>
          <w:color w:val="17324D"/>
          <w:sz w:val="32"/>
        </w:rPr>
        <w:t>27. Diligence and Verifiability</w:t>
      </w:r>
    </w:p>
    <w:p>
      <w:pPr>
        <w:pStyle w:val="ListBullet"/>
        <w:spacing w:after="60" w:line="259" w:lineRule="auto"/>
      </w:pPr>
      <w:r>
        <w:rPr>
          <w:rFonts w:ascii="Noto Sans" w:hAnsi="Noto Sans"/>
          <w:color w:val="1B1F23"/>
          <w:sz w:val="20"/>
        </w:rPr>
        <w:t>DSEARCH repository history.</w:t>
      </w:r>
    </w:p>
    <w:p>
      <w:pPr>
        <w:pStyle w:val="ListBullet"/>
        <w:spacing w:after="60" w:line="259" w:lineRule="auto"/>
      </w:pPr>
      <w:r>
        <w:rPr>
          <w:rFonts w:ascii="Noto Sans" w:hAnsi="Noto Sans"/>
          <w:color w:val="1B1F23"/>
          <w:sz w:val="20"/>
        </w:rPr>
        <w:t>Contract and schema artifacts.</w:t>
      </w:r>
    </w:p>
    <w:p>
      <w:pPr>
        <w:pStyle w:val="ListBullet"/>
        <w:spacing w:after="60" w:line="259" w:lineRule="auto"/>
      </w:pPr>
      <w:r>
        <w:rPr>
          <w:rFonts w:ascii="Noto Sans" w:hAnsi="Noto Sans"/>
          <w:color w:val="1B1F23"/>
          <w:sz w:val="20"/>
        </w:rPr>
        <w:t>Conformance-vector definitions and representative executable test results.</w:t>
      </w:r>
    </w:p>
    <w:p>
      <w:pPr>
        <w:pStyle w:val="ListBullet"/>
        <w:spacing w:after="60" w:line="259" w:lineRule="auto"/>
      </w:pPr>
      <w:r>
        <w:rPr>
          <w:rFonts w:ascii="Noto Sans" w:hAnsi="Noto Sans"/>
          <w:color w:val="1B1F23"/>
          <w:sz w:val="20"/>
        </w:rPr>
        <w:t>Comparative research records.</w:t>
      </w:r>
    </w:p>
    <w:p>
      <w:pPr>
        <w:pStyle w:val="ListBullet"/>
        <w:spacing w:after="60" w:line="259" w:lineRule="auto"/>
      </w:pPr>
      <w:r>
        <w:rPr>
          <w:rFonts w:ascii="Noto Sans" w:hAnsi="Noto Sans"/>
          <w:color w:val="1B1F23"/>
          <w:sz w:val="20"/>
        </w:rPr>
        <w:t>Evidence archives and manifests.</w:t>
      </w:r>
    </w:p>
    <w:p>
      <w:pPr>
        <w:pStyle w:val="ListBullet"/>
        <w:spacing w:after="60" w:line="259" w:lineRule="auto"/>
      </w:pPr>
      <w:r>
        <w:rPr>
          <w:rFonts w:ascii="Noto Sans" w:hAnsi="Noto Sans"/>
          <w:color w:val="1B1F23"/>
          <w:sz w:val="20"/>
        </w:rPr>
        <w:t>Reference and control implementation material.</w:t>
      </w:r>
    </w:p>
    <w:p>
      <w:pPr>
        <w:pStyle w:val="ListBullet"/>
        <w:spacing w:after="60" w:line="259" w:lineRule="auto"/>
      </w:pPr>
      <w:r>
        <w:rPr>
          <w:rFonts w:ascii="Noto Sans" w:hAnsi="Noto Sans"/>
          <w:color w:val="1B1F23"/>
          <w:sz w:val="20"/>
        </w:rPr>
        <w:t>Project Console development and evidence history where relevant.</w:t>
      </w:r>
    </w:p>
    <w:p>
      <w:pPr>
        <w:pStyle w:val="ListBullet"/>
        <w:spacing w:after="60" w:line="259" w:lineRule="auto"/>
      </w:pPr>
      <w:r>
        <w:rPr>
          <w:rFonts w:ascii="Noto Sans" w:hAnsi="Noto Sans"/>
          <w:color w:val="1B1F23"/>
          <w:sz w:val="20"/>
        </w:rPr>
        <w:t>Selected ContentSafe engineering work relevant to distribution, automation, operational reliability, and recovery.</w:t>
      </w:r>
    </w:p>
    <w:p>
      <w:pPr>
        <w:pStyle w:val="ListBullet"/>
        <w:spacing w:after="60" w:line="259" w:lineRule="auto"/>
      </w:pPr>
      <w:r>
        <w:rPr>
          <w:rFonts w:ascii="Noto Sans" w:hAnsi="Noto Sans"/>
          <w:color w:val="1B1F23"/>
          <w:sz w:val="20"/>
        </w:rPr>
        <w:t>Selected TimeSafari-related work where relevant to identity and provenance.</w:t>
      </w:r>
    </w:p>
    <w:p>
      <w:pPr>
        <w:pStyle w:val="ListBullet"/>
        <w:spacing w:after="60" w:line="259" w:lineRule="auto"/>
      </w:pPr>
      <w:r>
        <w:rPr>
          <w:rFonts w:ascii="Noto Sans" w:hAnsi="Noto Sans"/>
          <w:color w:val="1B1F23"/>
          <w:sz w:val="20"/>
        </w:rPr>
        <w:t>Matthew Raymer's detailed technical biography and selected-work record.</w:t>
      </w:r>
    </w:p>
    <w:p>
      <w:pPr>
        <w:spacing w:before="0" w:after="120" w:line="269" w:lineRule="auto"/>
      </w:pPr>
      <w:r>
        <w:rPr>
          <w:rFonts w:ascii="Noto Sans" w:hAnsi="Noto Sans"/>
          <w:b w:val="0"/>
          <w:i w:val="0"/>
          <w:color w:val="1B1F23"/>
          <w:sz w:val="21"/>
        </w:rPr>
        <w:t>The exact access mechanism can be agreed during diligence where repositories contain unrelated or non-public material. The principal technical and capability claims should be independently inspectable rather than accepted on assertion.</w:t>
      </w:r>
    </w:p>
    <w:p>
      <w:pPr>
        <w:pStyle w:val="Heading1"/>
        <w:spacing w:before="240" w:after="100"/>
      </w:pPr>
      <w:r>
        <w:rPr>
          <w:rFonts w:ascii="Noto Sans" w:hAnsi="Noto Sans"/>
          <w:b/>
          <w:color w:val="17324D"/>
          <w:sz w:val="32"/>
        </w:rPr>
        <w:t>28. Open Licensing and the Commons</w:t>
      </w:r>
    </w:p>
    <w:p>
      <w:pPr>
        <w:spacing w:before="0" w:after="120" w:line="269" w:lineRule="auto"/>
      </w:pPr>
      <w:r>
        <w:rPr>
          <w:rFonts w:ascii="Noto Sans" w:hAnsi="Noto Sans"/>
          <w:b w:val="0"/>
          <w:i w:val="0"/>
          <w:color w:val="1B1F23"/>
          <w:sz w:val="21"/>
        </w:rPr>
        <w:t>The DSEARCH Base Layer is intended to remain openly implementable. Its neutrality should therefore be established through legal permissions as well as architectural intent.</w:t>
      </w:r>
    </w:p>
    <w:p>
      <w:pPr>
        <w:spacing w:before="0" w:after="120" w:line="269" w:lineRule="auto"/>
      </w:pPr>
      <w:r>
        <w:rPr>
          <w:rFonts w:ascii="Noto Sans" w:hAnsi="Noto Sans"/>
          <w:b w:val="0"/>
          <w:i w:val="0"/>
          <w:color w:val="1B1F23"/>
          <w:sz w:val="21"/>
        </w:rPr>
        <w:t>The funded contracts, schemas, conformance materials, test vectors, reference software, and technical documentation will be released under explicitly identified open licenses permitting independent implementation, modification, redistribution, competing implementations, and continued use without requiring permission from Anomalist Design LLC, the original developers, or the funder.</w:t>
      </w:r>
    </w:p>
    <w:p>
      <w:pPr>
        <w:spacing w:before="0" w:after="120" w:line="269" w:lineRule="auto"/>
      </w:pPr>
      <w:r>
        <w:rPr>
          <w:rFonts w:ascii="Noto Sans" w:hAnsi="Noto Sans"/>
          <w:b w:val="0"/>
          <w:i w:val="0"/>
          <w:color w:val="1B1F23"/>
          <w:sz w:val="21"/>
        </w:rPr>
        <w:t>The exact license or license combination will be finalized before execution of the funding agreement and identified in that agreement. Apache License 2.0 is presently under consideration for software, executable conformance tooling, schemas, and related implementation materials because it provides permissive reuse together with explicit patent-license provisions. The appropriate license for specifications and primarily documentary materials will be determined at the same time.</w:t>
      </w:r>
    </w:p>
    <w:p>
      <w:pPr>
        <w:spacing w:before="0" w:after="120" w:line="269" w:lineRule="auto"/>
      </w:pPr>
      <w:r>
        <w:rPr>
          <w:rFonts w:ascii="Noto Sans" w:hAnsi="Noto Sans"/>
          <w:b w:val="0"/>
          <w:i w:val="0"/>
          <w:color w:val="1B1F23"/>
          <w:sz w:val="21"/>
        </w:rPr>
        <w:t>Regardless of the final license selection, funding will not confer protocol authority on the funder, and already released Base-Layer material will not depend upon future funding or the continued operation of Anomalist Design LLC for its lawful continued use.</w:t>
      </w:r>
    </w:p>
    <w:p>
      <w:pPr>
        <w:pStyle w:val="Heading1"/>
        <w:spacing w:before="240" w:after="100"/>
      </w:pPr>
      <w:r>
        <w:rPr>
          <w:rFonts w:ascii="Noto Sans" w:hAnsi="Noto Sans"/>
          <w:b/>
          <w:color w:val="17324D"/>
          <w:sz w:val="32"/>
        </w:rPr>
        <w:t>29. Funding and Protocol Authority</w:t>
      </w:r>
    </w:p>
    <w:p>
      <w:pPr>
        <w:spacing w:before="0" w:after="120" w:line="269" w:lineRule="auto"/>
      </w:pPr>
      <w:r>
        <w:rPr>
          <w:rFonts w:ascii="Noto Sans" w:hAnsi="Noto Sans"/>
          <w:b w:val="0"/>
          <w:i w:val="0"/>
          <w:color w:val="1B1F23"/>
          <w:sz w:val="21"/>
        </w:rPr>
        <w:t>A funder can reasonably expect visibility into the tranche, access to relevant evidence, clear deliverables, financial accountability, and an assessment of whether the funded objectives were achieved. Funding should not confer privileged truth status, ranking authority, protocol control, or permanent dependence of the Base Layer on the funding source.</w:t>
      </w:r>
    </w:p>
    <w:p>
      <w:pPr>
        <w:spacing w:before="0" w:after="120" w:line="269" w:lineRule="auto"/>
      </w:pPr>
      <w:r>
        <w:rPr>
          <w:rFonts w:ascii="Noto Sans" w:hAnsi="Noto Sans"/>
          <w:b w:val="0"/>
          <w:i w:val="0"/>
          <w:color w:val="1B1F23"/>
          <w:sz w:val="21"/>
        </w:rPr>
        <w:t>The same principle applies to the development team and reference implementation. The value of the Base Layer increases if another organization can independently implement it, disagree about ranking or trust policy, replace individual technologies, and still interoperate through shared contracts.</w:t>
      </w:r>
    </w:p>
    <w:p>
      <w:pPr>
        <w:pStyle w:val="Heading1"/>
        <w:spacing w:before="240" w:after="100"/>
      </w:pPr>
      <w:r>
        <w:rPr>
          <w:rFonts w:ascii="Noto Sans" w:hAnsi="Noto Sans"/>
          <w:b/>
          <w:color w:val="17324D"/>
          <w:sz w:val="32"/>
        </w:rPr>
        <w:t>30. Funding Request</w:t>
      </w:r>
    </w:p>
    <w:tbl>
      <w:tblPr>
        <w:tblW w:type="auto" w:w="0"/>
        <w:jc w:val="center"/>
        <w:tblLook w:firstColumn="1" w:firstRow="1" w:lastColumn="0" w:lastRow="0" w:noHBand="0" w:noVBand="1" w:val="04A0"/>
      </w:tblPr>
      <w:tblGrid>
        <w:gridCol w:w="9994"/>
      </w:tblGrid>
      <w:tr>
        <w:tc>
          <w:tcPr>
            <w:tcW w:type="dxa" w:w="9994"/>
            <w:shd w:fill="EAF1F3"/>
            <w:tcMar>
              <w:top w:w="140" w:type="dxa"/>
              <w:start w:w="180" w:type="dxa"/>
              <w:bottom w:w="140" w:type="dxa"/>
              <w:end w:w="180" w:type="dxa"/>
            </w:tcMar>
            <w:tcBorders>
              <w:top w:val="single" w:sz="6" w:color="1F6F78"/>
              <w:bottom w:val="single" w:sz="6" w:color="1F6F78"/>
              <w:start w:val="single" w:sz="6" w:color="1F6F78"/>
              <w:end w:val="single" w:sz="6" w:color="1F6F78"/>
            </w:tcBorders>
          </w:tcPr>
          <w:p>
            <w:pPr>
              <w:spacing w:before="0" w:after="80" w:line="269" w:lineRule="auto"/>
            </w:pPr>
            <w:r>
              <w:rPr>
                <w:rFonts w:ascii="Noto Sans" w:hAnsi="Noto Sans"/>
                <w:b/>
                <w:color w:val="17324D"/>
                <w:sz w:val="21"/>
              </w:rPr>
              <w:t>FIRST FUNDED ENGINEERING TRANCHE</w:t>
            </w:r>
          </w:p>
          <w:p>
            <w:pPr>
              <w:spacing w:before="0" w:after="0" w:line="259" w:lineRule="auto"/>
            </w:pPr>
            <w:r>
              <w:rPr>
                <w:rFonts w:ascii="Noto Sans" w:hAnsi="Noto Sans"/>
                <w:color w:val="1B1F23"/>
                <w:sz w:val="19"/>
              </w:rPr>
              <w:t>Six weeks at $3,000 USD per week — $18,000 USD total</w:t>
              <w:br/>
              <w:br/>
              <w:t>or</w:t>
              <w:br/>
              <w:br/>
              <w:t>Eight weeks at $3,000 USD per week — $24,000 USD total</w:t>
              <w:br/>
              <w:br/>
              <w:t>Funded in advance through Anomalist Design LLC. No refund provision. Continuous public development record. No automatic continuation.</w:t>
            </w:r>
          </w:p>
        </w:tc>
      </w:tr>
    </w:tbl>
    <w:p>
      <w:pPr>
        <w:spacing w:after="20"/>
      </w:pPr>
    </w:p>
    <w:p>
      <w:pPr>
        <w:spacing w:before="0" w:after="120" w:line="269" w:lineRule="auto"/>
      </w:pPr>
      <w:r>
        <w:rPr>
          <w:rFonts w:ascii="Noto Sans" w:hAnsi="Noto Sans"/>
          <w:b/>
          <w:i w:val="0"/>
          <w:color w:val="1B1F23"/>
          <w:sz w:val="21"/>
        </w:rPr>
        <w:t>Weekly allocation: $1,600 Matthew Raymer, Lead Developer; $800 second developer selected upon funding; $600 pooled support, infrastructure, AI model/API usage, test machines, additional development hardware where required, systems administration, documentation, evidence management, and project operations.</w:t>
      </w:r>
    </w:p>
    <w:p>
      <w:pPr>
        <w:spacing w:before="0" w:after="120" w:line="269" w:lineRule="auto"/>
      </w:pPr>
      <w:r>
        <w:rPr>
          <w:rFonts w:ascii="Noto Sans" w:hAnsi="Noto Sans"/>
          <w:b w:val="0"/>
          <w:i w:val="0"/>
          <w:color w:val="1B1F23"/>
          <w:sz w:val="21"/>
        </w:rPr>
        <w:t>The proposed outcome is an evidence-backed DSEARCH Base-Layer release candidate with executable conformance, adversarial testing, implementation diversity, integration evidence, migration and replacement testing, continuous public accountability, and a documented basis for deciding whether and how the work should proceed.</w:t>
      </w:r>
    </w:p>
    <w:p>
      <w:pPr>
        <w:pStyle w:val="Heading1"/>
        <w:spacing w:before="240" w:after="100"/>
      </w:pPr>
      <w:r>
        <w:rPr>
          <w:rFonts w:ascii="Noto Sans" w:hAnsi="Noto Sans"/>
          <w:b/>
          <w:color w:val="17324D"/>
          <w:sz w:val="32"/>
        </w:rPr>
        <w:t>31. Selected Comparative Sources</w:t>
      </w:r>
    </w:p>
    <w:p>
      <w:pPr>
        <w:spacing w:before="0" w:after="60" w:line="269" w:lineRule="auto"/>
      </w:pPr>
      <w:r>
        <w:rPr>
          <w:rFonts w:ascii="Noto Sans" w:hAnsi="Noto Sans"/>
          <w:b/>
          <w:color w:val="17324D"/>
          <w:sz w:val="18"/>
        </w:rPr>
        <w:t xml:space="preserve">YaCy — </w:t>
      </w:r>
      <w:r>
        <w:rPr>
          <w:rFonts w:ascii="Noto Sans" w:hAnsi="Noto Sans"/>
          <w:color w:val="1F6F78"/>
          <w:sz w:val="18"/>
        </w:rPr>
        <w:t>https://www.yacy.net/</w:t>
      </w:r>
    </w:p>
    <w:p>
      <w:pPr>
        <w:spacing w:before="0" w:after="60" w:line="269" w:lineRule="auto"/>
      </w:pPr>
      <w:r>
        <w:rPr>
          <w:rFonts w:ascii="Noto Sans" w:hAnsi="Noto Sans"/>
          <w:b/>
          <w:color w:val="17324D"/>
          <w:sz w:val="18"/>
        </w:rPr>
        <w:t xml:space="preserve">Presearch Nodes — </w:t>
      </w:r>
      <w:r>
        <w:rPr>
          <w:rFonts w:ascii="Noto Sans" w:hAnsi="Noto Sans"/>
          <w:color w:val="1F6F78"/>
          <w:sz w:val="18"/>
        </w:rPr>
        <w:t>https://nodes.presearch.com/</w:t>
      </w:r>
    </w:p>
    <w:p>
      <w:pPr>
        <w:spacing w:before="0" w:after="60" w:line="269" w:lineRule="auto"/>
      </w:pPr>
      <w:r>
        <w:rPr>
          <w:rFonts w:ascii="Noto Sans" w:hAnsi="Noto Sans"/>
          <w:b/>
          <w:color w:val="17324D"/>
          <w:sz w:val="18"/>
        </w:rPr>
        <w:t xml:space="preserve">IPNI — IPFS Documentation — </w:t>
      </w:r>
      <w:r>
        <w:rPr>
          <w:rFonts w:ascii="Noto Sans" w:hAnsi="Noto Sans"/>
          <w:color w:val="1F6F78"/>
          <w:sz w:val="18"/>
        </w:rPr>
        <w:t>https://docs.ipfs.tech/concepts/ipni/</w:t>
      </w:r>
    </w:p>
    <w:p>
      <w:pPr>
        <w:spacing w:before="0" w:after="60" w:line="269" w:lineRule="auto"/>
      </w:pPr>
      <w:r>
        <w:rPr>
          <w:rFonts w:ascii="Noto Sans" w:hAnsi="Noto Sans"/>
          <w:b/>
          <w:color w:val="17324D"/>
          <w:sz w:val="18"/>
        </w:rPr>
        <w:t xml:space="preserve">OpenWebSearch.eu Open Web Index — </w:t>
      </w:r>
      <w:r>
        <w:rPr>
          <w:rFonts w:ascii="Noto Sans" w:hAnsi="Noto Sans"/>
          <w:color w:val="1F6F78"/>
          <w:sz w:val="18"/>
        </w:rPr>
        <w:t>https://openwebsearch.eu/open-webindex/</w:t>
      </w:r>
    </w:p>
    <w:p>
      <w:pPr>
        <w:spacing w:before="0" w:after="60" w:line="269" w:lineRule="auto"/>
      </w:pPr>
      <w:r>
        <w:rPr>
          <w:rFonts w:ascii="Noto Sans" w:hAnsi="Noto Sans"/>
          <w:b/>
          <w:color w:val="17324D"/>
          <w:sz w:val="18"/>
        </w:rPr>
        <w:t xml:space="preserve">BitTorrent BEP 42 — DHT Security Extension — </w:t>
      </w:r>
      <w:r>
        <w:rPr>
          <w:rFonts w:ascii="Noto Sans" w:hAnsi="Noto Sans"/>
          <w:color w:val="1F6F78"/>
          <w:sz w:val="18"/>
        </w:rPr>
        <w:t>https://www.bittorrent.org/beps/bep_0042.html</w:t>
      </w:r>
    </w:p>
    <w:p>
      <w:pPr>
        <w:spacing w:before="0" w:after="60" w:line="269" w:lineRule="auto"/>
      </w:pPr>
      <w:r>
        <w:rPr>
          <w:rFonts w:ascii="Noto Sans" w:hAnsi="Noto Sans"/>
          <w:b/>
          <w:color w:val="17324D"/>
          <w:sz w:val="18"/>
        </w:rPr>
        <w:t xml:space="preserve">BitTorrent BEP 44 — Storing Arbitrary Data in the DHT — </w:t>
      </w:r>
      <w:r>
        <w:rPr>
          <w:rFonts w:ascii="Noto Sans" w:hAnsi="Noto Sans"/>
          <w:color w:val="1F6F78"/>
          <w:sz w:val="18"/>
        </w:rPr>
        <w:t>https://www.bittorrent.org/beps/bep_0044.html</w:t>
      </w:r>
    </w:p>
    <w:p>
      <w:pPr>
        <w:spacing w:before="0" w:after="60" w:line="269" w:lineRule="auto"/>
      </w:pPr>
      <w:r>
        <w:rPr>
          <w:rFonts w:ascii="Noto Sans" w:hAnsi="Noto Sans"/>
          <w:b/>
          <w:color w:val="17324D"/>
          <w:sz w:val="18"/>
        </w:rPr>
        <w:t xml:space="preserve">Nostr NIP-13 — Proof of Work — </w:t>
      </w:r>
      <w:r>
        <w:rPr>
          <w:rFonts w:ascii="Noto Sans" w:hAnsi="Noto Sans"/>
          <w:color w:val="1F6F78"/>
          <w:sz w:val="18"/>
        </w:rPr>
        <w:t>https://github.com/nostr-protocol/nips/blob/master/13.md</w:t>
      </w:r>
    </w:p>
    <w:p>
      <w:pPr>
        <w:spacing w:before="0" w:after="60" w:line="269" w:lineRule="auto"/>
      </w:pPr>
      <w:r>
        <w:rPr>
          <w:rFonts w:ascii="Noto Sans" w:hAnsi="Noto Sans"/>
          <w:b/>
          <w:color w:val="17324D"/>
          <w:sz w:val="18"/>
        </w:rPr>
        <w:t xml:space="preserve">Tor relay descriptor / family specification — </w:t>
      </w:r>
      <w:r>
        <w:rPr>
          <w:rFonts w:ascii="Noto Sans" w:hAnsi="Noto Sans"/>
          <w:color w:val="1F6F78"/>
          <w:sz w:val="18"/>
        </w:rPr>
        <w:t>https://spec.torproject.org/dir-spec/server-descriptor-format.html</w:t>
      </w:r>
    </w:p>
    <w:p>
      <w:pPr>
        <w:spacing w:before="0" w:after="60" w:line="269" w:lineRule="auto"/>
      </w:pPr>
      <w:r>
        <w:rPr>
          <w:rFonts w:ascii="Noto Sans" w:hAnsi="Noto Sans"/>
          <w:b/>
          <w:color w:val="17324D"/>
          <w:sz w:val="18"/>
        </w:rPr>
        <w:t xml:space="preserve">Google Search spam policies — </w:t>
      </w:r>
      <w:r>
        <w:rPr>
          <w:rFonts w:ascii="Noto Sans" w:hAnsi="Noto Sans"/>
          <w:color w:val="1F6F78"/>
          <w:sz w:val="18"/>
        </w:rPr>
        <w:t>https://developers.google.com/search/docs/essentials/spam-policies</w:t>
      </w:r>
    </w:p>
    <w:sectPr w:rsidR="00FC693F" w:rsidRPr="0006063C" w:rsidSect="00034616">
      <w:headerReference w:type="default" r:id="rId9"/>
      <w:footerReference w:type="default" r:id="rId10"/>
      <w:pgSz w:w="12240" w:h="15840"/>
      <w:pgMar w:top="936" w:right="1123" w:bottom="936" w:left="1123" w:header="360"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color w:val="5D6770"/>
        <w:sz w:val="15"/>
      </w:rPr>
      <w:t>DSEARCH • Anomalist Design LLC • Funding Proposal</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Noto Sans" w:hAnsi="Noto Sans"/>
        <w:b/>
        <w:color w:val="5D6770"/>
        <w:sz w:val="16"/>
      </w:rPr>
      <w:t>DSEARCH — Technical Description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oto Sans" w:hAnsi="Noto San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Noto Sans" w:hAnsi="Noto Sans"/>
      <w:b/>
      <w:bCs/>
      <w:color w:val="365F91" w:themeColor="accent1" w:themeShade="BF"/>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Noto Sans" w:hAnsi="Noto Sans"/>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Noto Sans" w:hAnsi="Noto Sans"/>
      <w:b/>
      <w:bCs/>
      <w:color w:val="4F81BD" w:themeColor="accent1"/>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color w:val="17365D" w:themeColor="text2" w:themeShade="B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Noto Sans" w:hAnsi="Noto Sans"/>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