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left"/>
      </w:pPr>
      <w:r>
        <w:rPr>
          <w:rFonts w:ascii="Noto Sans" w:hAnsi="Noto Sans"/>
          <w:b/>
          <w:color w:val="1F6F78"/>
          <w:sz w:val="18"/>
        </w:rPr>
        <w:t>ANOMALIST DESIGN LLC</w:t>
      </w:r>
    </w:p>
    <w:p>
      <w:pPr>
        <w:spacing w:after="120"/>
      </w:pPr>
      <w:r>
        <w:rPr>
          <w:rFonts w:ascii="Noto Sans" w:hAnsi="Noto Sans"/>
          <w:b/>
          <w:color w:val="17324D"/>
          <w:sz w:val="50"/>
        </w:rPr>
        <w:t>DSEARCH Base Layer</w:t>
      </w:r>
    </w:p>
    <w:p>
      <w:pPr>
        <w:spacing w:after="360"/>
      </w:pPr>
      <w:r>
        <w:rPr>
          <w:rFonts w:ascii="Noto Sans" w:hAnsi="Noto Sans"/>
          <w:color w:val="5D6770"/>
          <w:sz w:val="24"/>
        </w:rPr>
        <w:t>Funding Summary and Funder Acknowledgment</w:t>
      </w:r>
    </w:p>
    <w:tbl>
      <w:tblPr>
        <w:tblW w:type="auto" w:w="0"/>
        <w:tblLook w:firstColumn="1" w:firstRow="1" w:lastColumn="0" w:lastRow="0" w:noHBand="0" w:noVBand="1" w:val="04A0"/>
      </w:tblPr>
      <w:tblGrid>
        <w:gridCol w:w="9994"/>
      </w:tblGrid>
      <w:tr>
        <w:tc>
          <w:tcPr>
            <w:tcW w:type="dxa" w:w="9994"/>
            <w:shd w:fill="1F6F78"/>
          </w:tcPr>
          <w:p/>
        </w:tc>
      </w:tr>
    </w:tbl>
    <w:p>
      <w:pPr>
        <w:spacing w:after="60"/>
      </w:pPr>
    </w:p>
    <w:tbl>
      <w:tblPr>
        <w:tblW w:type="auto" w:w="0"/>
        <w:jc w:val="center"/>
        <w:tblLook w:firstColumn="1" w:firstRow="1" w:lastColumn="0" w:lastRow="0" w:noHBand="0" w:noVBand="1" w:val="04A0"/>
      </w:tblPr>
      <w:tblGrid>
        <w:gridCol w:w="9994"/>
      </w:tblGrid>
      <w:tr>
        <w:tc>
          <w:tcPr>
            <w:tcW w:type="dxa" w:w="9994"/>
            <w:shd w:fill="FCEEEE"/>
            <w:tcMar>
              <w:top w:w="140" w:type="dxa"/>
              <w:start w:w="180" w:type="dxa"/>
              <w:bottom w:w="140" w:type="dxa"/>
              <w:end w:w="180" w:type="dxa"/>
            </w:tcMar>
            <w:tcBorders>
              <w:top w:val="single" w:sz="6" w:color="9A2E2E"/>
              <w:bottom w:val="single" w:sz="6" w:color="9A2E2E"/>
              <w:start w:val="single" w:sz="6" w:color="9A2E2E"/>
              <w:end w:val="single" w:sz="6" w:color="9A2E2E"/>
            </w:tcBorders>
          </w:tcPr>
          <w:p>
            <w:pPr>
              <w:spacing w:before="0" w:after="80" w:line="269" w:lineRule="auto"/>
            </w:pPr>
            <w:r>
              <w:rPr>
                <w:rFonts w:ascii="Noto Sans" w:hAnsi="Noto Sans"/>
                <w:b/>
                <w:color w:val="17324D"/>
                <w:sz w:val="21"/>
              </w:rPr>
              <w:t>IMPORTANT — READ THE TECHNICAL DESCRIPTION BEFORE SIGNING</w:t>
            </w:r>
          </w:p>
          <w:p>
            <w:pPr>
              <w:spacing w:before="0" w:after="0" w:line="259" w:lineRule="auto"/>
            </w:pPr>
            <w:r>
              <w:rPr>
                <w:rFonts w:ascii="Noto Sans" w:hAnsi="Noto Sans"/>
                <w:color w:val="1B1F23"/>
                <w:sz w:val="19"/>
              </w:rPr>
              <w:t>This Summary and the accompanying DSEARCH Technical Description are one funding package. By signing the funding agreement, the funder confirms that it has reviewed and understands the technical program described in the Technical Description and is funding that defined program. The tranche is prepaid and non-refundable. Continuous publication provides visibility into the work, but does not create a rolling technical approval or protocol-veto right. Funding does not confer protocol authority, ranking authority, truth authority, or ownership of the commons. There is no automatic continuation.</w:t>
            </w:r>
          </w:p>
        </w:tc>
      </w:tr>
    </w:tbl>
    <w:p>
      <w:pPr>
        <w:spacing w:after="20"/>
      </w:pPr>
    </w:p>
    <w:p>
      <w:pPr>
        <w:pStyle w:val="Heading1"/>
        <w:spacing w:before="240" w:after="100"/>
      </w:pPr>
      <w:r>
        <w:rPr>
          <w:rFonts w:ascii="Noto Sans" w:hAnsi="Noto Sans"/>
          <w:b/>
          <w:color w:val="17324D"/>
          <w:sz w:val="32"/>
        </w:rPr>
        <w:t>Purpose</w:t>
      </w:r>
    </w:p>
    <w:p>
      <w:pPr>
        <w:spacing w:before="0" w:after="120" w:line="269" w:lineRule="auto"/>
      </w:pPr>
      <w:r>
        <w:rPr>
          <w:rFonts w:ascii="Noto Sans" w:hAnsi="Noto Sans"/>
          <w:b w:val="0"/>
          <w:i w:val="0"/>
          <w:color w:val="1B1F23"/>
          <w:sz w:val="21"/>
        </w:rPr>
        <w:t>DSEARCH is developing a neutral Base Layer for distributed search: common contracts that can be implemented by different crawlers, indexes, relays, search applications, AI systems, and specialist engines without requiring one implementation, company, token, relay network, ranking system, or funder to become authority over the commons.</w:t>
      </w:r>
    </w:p>
    <w:p>
      <w:pPr>
        <w:spacing w:before="0" w:after="120" w:line="269" w:lineRule="auto"/>
      </w:pPr>
      <w:r>
        <w:rPr>
          <w:rFonts w:ascii="Noto Sans" w:hAnsi="Noto Sans"/>
          <w:b w:val="0"/>
          <w:i w:val="0"/>
          <w:color w:val="1B1F23"/>
          <w:sz w:val="21"/>
        </w:rPr>
        <w:t>The foundational work was completed without a dedicated DSEARCH funding tranche. It reduced the major architectural questions—observation and identity, replication and recovery, coverage and distribution, infrastructure diversity, and Sybil/poisoning evidence—into bounded contracts, candidate contracts, conformance cases, comparative evidence, and defined engineering problems.</w:t>
      </w:r>
    </w:p>
    <w:p>
      <w:pPr>
        <w:pStyle w:val="Heading1"/>
        <w:spacing w:before="240" w:after="100"/>
      </w:pPr>
      <w:r>
        <w:rPr>
          <w:rFonts w:ascii="Noto Sans" w:hAnsi="Noto Sans"/>
          <w:b/>
          <w:color w:val="17324D"/>
          <w:sz w:val="32"/>
        </w:rPr>
        <w:t>Funding Request</w:t>
      </w:r>
    </w:p>
    <w:tbl>
      <w:tblPr>
        <w:tblW w:type="auto" w:w="0"/>
        <w:jc w:val="center"/>
        <w:tblLook w:firstColumn="1" w:firstRow="1" w:lastColumn="0" w:lastRow="0" w:noHBand="0" w:noVBand="1" w:val="04A0"/>
      </w:tblPr>
      <w:tblGrid>
        <w:gridCol w:w="2498"/>
        <w:gridCol w:w="2498"/>
        <w:gridCol w:w="2498"/>
        <w:gridCol w:w="2498"/>
      </w:tblGrid>
      <w:tr>
        <w:tc>
          <w:tcPr>
            <w:tcW w:type="dxa" w:w="2498"/>
            <w:shd w:fill="17324D"/>
            <w:tcMar>
              <w:top w:w="100" w:type="dxa"/>
              <w:start w:w="120" w:type="dxa"/>
              <w:bottom w:w="100" w:type="dxa"/>
              <w:end w:w="120" w:type="dxa"/>
            </w:tcMar>
          </w:tcPr>
          <w:p>
            <w:r>
              <w:rPr>
                <w:rFonts w:ascii="Noto Sans" w:hAnsi="Noto Sans"/>
                <w:b/>
                <w:color w:val="FFFFFF"/>
                <w:sz w:val="18"/>
              </w:rPr>
              <w:t>Option</w:t>
            </w:r>
          </w:p>
        </w:tc>
        <w:tc>
          <w:tcPr>
            <w:tcW w:type="dxa" w:w="2498"/>
            <w:shd w:fill="17324D"/>
            <w:tcMar>
              <w:top w:w="100" w:type="dxa"/>
              <w:start w:w="120" w:type="dxa"/>
              <w:bottom w:w="100" w:type="dxa"/>
              <w:end w:w="120" w:type="dxa"/>
            </w:tcMar>
          </w:tcPr>
          <w:p>
            <w:r>
              <w:rPr>
                <w:rFonts w:ascii="Noto Sans" w:hAnsi="Noto Sans"/>
                <w:b/>
                <w:color w:val="FFFFFF"/>
                <w:sz w:val="18"/>
              </w:rPr>
              <w:t>Duration</w:t>
            </w:r>
          </w:p>
        </w:tc>
        <w:tc>
          <w:tcPr>
            <w:tcW w:type="dxa" w:w="2498"/>
            <w:shd w:fill="17324D"/>
            <w:tcMar>
              <w:top w:w="100" w:type="dxa"/>
              <w:start w:w="120" w:type="dxa"/>
              <w:bottom w:w="100" w:type="dxa"/>
              <w:end w:w="120" w:type="dxa"/>
            </w:tcMar>
          </w:tcPr>
          <w:p>
            <w:r>
              <w:rPr>
                <w:rFonts w:ascii="Noto Sans" w:hAnsi="Noto Sans"/>
                <w:b/>
                <w:color w:val="FFFFFF"/>
                <w:sz w:val="18"/>
              </w:rPr>
              <w:t>Rate</w:t>
            </w:r>
          </w:p>
        </w:tc>
        <w:tc>
          <w:tcPr>
            <w:tcW w:type="dxa" w:w="2498"/>
            <w:shd w:fill="17324D"/>
            <w:tcMar>
              <w:top w:w="100" w:type="dxa"/>
              <w:start w:w="120" w:type="dxa"/>
              <w:bottom w:w="100" w:type="dxa"/>
              <w:end w:w="120" w:type="dxa"/>
            </w:tcMar>
          </w:tcPr>
          <w:p>
            <w:r>
              <w:rPr>
                <w:rFonts w:ascii="Noto Sans" w:hAnsi="Noto Sans"/>
                <w:b/>
                <w:color w:val="FFFFFF"/>
                <w:sz w:val="18"/>
              </w:rPr>
              <w:t>Total</w:t>
            </w:r>
          </w:p>
        </w:tc>
      </w:tr>
      <w:tr>
        <w:tc>
          <w:tcPr>
            <w:tcW w:type="dxa" w:w="2498"/>
            <w:tcMar>
              <w:top w:w="100" w:type="dxa"/>
              <w:start w:w="120" w:type="dxa"/>
              <w:bottom w:w="100" w:type="dxa"/>
              <w:end w:w="120" w:type="dxa"/>
            </w:tcMar>
          </w:tcPr>
          <w:p>
            <w:r>
              <w:rPr>
                <w:rFonts w:ascii="Noto Sans" w:hAnsi="Noto Sans"/>
                <w:b w:val="0"/>
                <w:color w:val="1B1F23"/>
                <w:sz w:val="18"/>
              </w:rPr>
              <w:t>Core tranche</w:t>
            </w:r>
          </w:p>
        </w:tc>
        <w:tc>
          <w:tcPr>
            <w:tcW w:type="dxa" w:w="2498"/>
            <w:tcMar>
              <w:top w:w="100" w:type="dxa"/>
              <w:start w:w="120" w:type="dxa"/>
              <w:bottom w:w="100" w:type="dxa"/>
              <w:end w:w="120" w:type="dxa"/>
            </w:tcMar>
          </w:tcPr>
          <w:p>
            <w:r>
              <w:rPr>
                <w:rFonts w:ascii="Noto Sans" w:hAnsi="Noto Sans"/>
                <w:b w:val="0"/>
                <w:color w:val="1B1F23"/>
                <w:sz w:val="18"/>
              </w:rPr>
              <w:t>6 weeks</w:t>
            </w:r>
          </w:p>
        </w:tc>
        <w:tc>
          <w:tcPr>
            <w:tcW w:type="dxa" w:w="2498"/>
            <w:tcMar>
              <w:top w:w="100" w:type="dxa"/>
              <w:start w:w="120" w:type="dxa"/>
              <w:bottom w:w="100" w:type="dxa"/>
              <w:end w:w="120" w:type="dxa"/>
            </w:tcMar>
          </w:tcPr>
          <w:p>
            <w:r>
              <w:rPr>
                <w:rFonts w:ascii="Noto Sans" w:hAnsi="Noto Sans"/>
                <w:b w:val="0"/>
                <w:color w:val="1B1F23"/>
                <w:sz w:val="18"/>
              </w:rPr>
              <w:t>$3,000/week</w:t>
            </w:r>
          </w:p>
        </w:tc>
        <w:tc>
          <w:tcPr>
            <w:tcW w:type="dxa" w:w="2498"/>
            <w:tcMar>
              <w:top w:w="100" w:type="dxa"/>
              <w:start w:w="120" w:type="dxa"/>
              <w:bottom w:w="100" w:type="dxa"/>
              <w:end w:w="120" w:type="dxa"/>
            </w:tcMar>
          </w:tcPr>
          <w:p>
            <w:r>
              <w:rPr>
                <w:rFonts w:ascii="Noto Sans" w:hAnsi="Noto Sans"/>
                <w:b/>
                <w:color w:val="1B1F23"/>
                <w:sz w:val="18"/>
              </w:rPr>
              <w:t>$18,000 USD</w:t>
            </w:r>
          </w:p>
        </w:tc>
      </w:tr>
      <w:tr>
        <w:tc>
          <w:tcPr>
            <w:tcW w:type="dxa" w:w="2498"/>
            <w:tcMar>
              <w:top w:w="100" w:type="dxa"/>
              <w:start w:w="120" w:type="dxa"/>
              <w:bottom w:w="100" w:type="dxa"/>
              <w:end w:w="120" w:type="dxa"/>
            </w:tcMar>
            <w:shd w:fill="F4F7F8"/>
          </w:tcPr>
          <w:p>
            <w:r>
              <w:rPr>
                <w:rFonts w:ascii="Noto Sans" w:hAnsi="Noto Sans"/>
                <w:b w:val="0"/>
                <w:color w:val="1B1F23"/>
                <w:sz w:val="18"/>
              </w:rPr>
              <w:t>Extended qualification</w:t>
            </w:r>
          </w:p>
        </w:tc>
        <w:tc>
          <w:tcPr>
            <w:tcW w:type="dxa" w:w="2498"/>
            <w:tcMar>
              <w:top w:w="100" w:type="dxa"/>
              <w:start w:w="120" w:type="dxa"/>
              <w:bottom w:w="100" w:type="dxa"/>
              <w:end w:w="120" w:type="dxa"/>
            </w:tcMar>
            <w:shd w:fill="F4F7F8"/>
          </w:tcPr>
          <w:p>
            <w:r>
              <w:rPr>
                <w:rFonts w:ascii="Noto Sans" w:hAnsi="Noto Sans"/>
                <w:b w:val="0"/>
                <w:color w:val="1B1F23"/>
                <w:sz w:val="18"/>
              </w:rPr>
              <w:t>8 weeks</w:t>
            </w:r>
          </w:p>
        </w:tc>
        <w:tc>
          <w:tcPr>
            <w:tcW w:type="dxa" w:w="2498"/>
            <w:tcMar>
              <w:top w:w="100" w:type="dxa"/>
              <w:start w:w="120" w:type="dxa"/>
              <w:bottom w:w="100" w:type="dxa"/>
              <w:end w:w="120" w:type="dxa"/>
            </w:tcMar>
            <w:shd w:fill="F4F7F8"/>
          </w:tcPr>
          <w:p>
            <w:r>
              <w:rPr>
                <w:rFonts w:ascii="Noto Sans" w:hAnsi="Noto Sans"/>
                <w:b w:val="0"/>
                <w:color w:val="1B1F23"/>
                <w:sz w:val="18"/>
              </w:rPr>
              <w:t>$3,000/week</w:t>
            </w:r>
          </w:p>
        </w:tc>
        <w:tc>
          <w:tcPr>
            <w:tcW w:type="dxa" w:w="2498"/>
            <w:tcMar>
              <w:top w:w="100" w:type="dxa"/>
              <w:start w:w="120" w:type="dxa"/>
              <w:bottom w:w="100" w:type="dxa"/>
              <w:end w:w="120" w:type="dxa"/>
            </w:tcMar>
            <w:shd w:fill="F4F7F8"/>
          </w:tcPr>
          <w:p>
            <w:r>
              <w:rPr>
                <w:rFonts w:ascii="Noto Sans" w:hAnsi="Noto Sans"/>
                <w:b/>
                <w:color w:val="1B1F23"/>
                <w:sz w:val="18"/>
              </w:rPr>
              <w:t>$24,000 USD</w:t>
            </w:r>
          </w:p>
        </w:tc>
      </w:tr>
    </w:tbl>
    <w:p>
      <w:pPr>
        <w:spacing w:after="40"/>
      </w:pPr>
    </w:p>
    <w:p>
      <w:pPr>
        <w:spacing w:before="0" w:after="120" w:line="269" w:lineRule="auto"/>
      </w:pPr>
      <w:r>
        <w:rPr>
          <w:rFonts w:ascii="Noto Sans" w:hAnsi="Noto Sans"/>
          <w:b w:val="0"/>
          <w:i w:val="0"/>
          <w:color w:val="1B1F23"/>
          <w:sz w:val="20"/>
        </w:rPr>
        <w:t>The tranche will be funded in advance through Anomalist Design LLC. Payment may be made through any mutually agreed lawful transaction method acceptable to both parties.</w:t>
      </w:r>
    </w:p>
    <w:p>
      <w:pPr>
        <w:pStyle w:val="Heading1"/>
        <w:spacing w:before="240" w:after="100"/>
      </w:pPr>
      <w:r>
        <w:rPr>
          <w:rFonts w:ascii="Noto Sans" w:hAnsi="Noto Sans"/>
          <w:b/>
          <w:color w:val="17324D"/>
          <w:sz w:val="32"/>
        </w:rPr>
        <w:t>Team</w:t>
      </w:r>
    </w:p>
    <w:p>
      <w:pPr>
        <w:pStyle w:val="ListBullet"/>
        <w:spacing w:after="60" w:line="259" w:lineRule="auto"/>
      </w:pPr>
      <w:r>
        <w:rPr>
          <w:rFonts w:ascii="Noto Sans" w:hAnsi="Noto Sans"/>
          <w:color w:val="1B1F23"/>
          <w:sz w:val="20"/>
        </w:rPr>
        <w:t>Matthew Raymer — Lead Developer. Principal responsibility for Base-Layer architecture, contract development, integration, conformance engineering, technical adjudication, and tranche delivery.</w:t>
      </w:r>
    </w:p>
    <w:p>
      <w:pPr>
        <w:pStyle w:val="ListBullet"/>
        <w:spacing w:after="60" w:line="259" w:lineRule="auto"/>
      </w:pPr>
      <w:r>
        <w:rPr>
          <w:rFonts w:ascii="Noto Sans" w:hAnsi="Noto Sans"/>
          <w:color w:val="1B1F23"/>
          <w:sz w:val="20"/>
        </w:rPr>
        <w:t>Second Developer — selected upon funding, with selection weighted toward materially independent implementation rather than simply additional coding capacity.</w:t>
      </w:r>
    </w:p>
    <w:p>
      <w:pPr>
        <w:pStyle w:val="ListBullet"/>
        <w:spacing w:after="60" w:line="259" w:lineRule="auto"/>
      </w:pPr>
      <w:r>
        <w:rPr>
          <w:rFonts w:ascii="Noto Sans" w:hAnsi="Noto Sans"/>
          <w:color w:val="1B1F23"/>
          <w:sz w:val="20"/>
        </w:rPr>
        <w:t>Peter Smith — Human Document Editor; light, part-time support as required.</w:t>
      </w:r>
    </w:p>
    <w:p>
      <w:pPr>
        <w:pStyle w:val="ListBullet"/>
        <w:spacing w:after="60" w:line="259" w:lineRule="auto"/>
      </w:pPr>
      <w:r>
        <w:rPr>
          <w:rFonts w:ascii="Noto Sans" w:hAnsi="Noto Sans"/>
          <w:color w:val="1B1F23"/>
          <w:sz w:val="20"/>
        </w:rPr>
        <w:t>Mark Raymer — Office Administration; Matthew Raymer's brother and primary business partner in Anomalist Design LLC; light, part-time support as required.</w:t>
      </w:r>
    </w:p>
    <w:p>
      <w:pPr>
        <w:pStyle w:val="ListBullet"/>
        <w:spacing w:after="60" w:line="259" w:lineRule="auto"/>
      </w:pPr>
      <w:r>
        <w:rPr>
          <w:rFonts w:ascii="Noto Sans" w:hAnsi="Noto Sans"/>
          <w:color w:val="1B1F23"/>
          <w:sz w:val="20"/>
        </w:rPr>
        <w:t>Jose Olarte — Systems Administration; light, part-time support for development and test infrastructure.</w:t>
      </w:r>
    </w:p>
    <w:p>
      <w:pPr>
        <w:spacing w:before="0" w:after="120" w:line="269" w:lineRule="auto"/>
      </w:pPr>
      <w:r>
        <w:rPr>
          <w:rFonts w:ascii="Noto Sans" w:hAnsi="Noto Sans"/>
          <w:b w:val="0"/>
          <w:i w:val="0"/>
          <w:color w:val="5D6770"/>
          <w:sz w:val="19"/>
        </w:rPr>
        <w:t>The support allocation is pooled. It also covers AI model/API costs, test machines, additional development hardware where required, systems administration, documentation, evidence management, and ordinary project operations.</w:t>
      </w:r>
    </w:p>
    <w:p>
      <w:pPr>
        <w:pStyle w:val="Heading1"/>
        <w:spacing w:before="240" w:after="100"/>
      </w:pPr>
      <w:r>
        <w:rPr>
          <w:rFonts w:ascii="Noto Sans" w:hAnsi="Noto Sans"/>
          <w:b/>
          <w:color w:val="17324D"/>
          <w:sz w:val="32"/>
        </w:rPr>
        <w:t>Weekly Budget</w:t>
      </w:r>
    </w:p>
    <w:tbl>
      <w:tblPr>
        <w:tblW w:type="auto" w:w="0"/>
        <w:jc w:val="center"/>
        <w:tblLook w:firstColumn="1" w:firstRow="1" w:lastColumn="0" w:lastRow="0" w:noHBand="0" w:noVBand="1" w:val="04A0"/>
      </w:tblPr>
      <w:tblGrid>
        <w:gridCol w:w="2498"/>
        <w:gridCol w:w="2498"/>
        <w:gridCol w:w="2498"/>
        <w:gridCol w:w="2498"/>
      </w:tblGrid>
      <w:tr>
        <w:tc>
          <w:tcPr>
            <w:tcW w:type="dxa" w:w="2498"/>
            <w:shd w:fill="17324D"/>
            <w:tcMar>
              <w:top w:w="100" w:type="dxa"/>
              <w:start w:w="120" w:type="dxa"/>
              <w:bottom w:w="100" w:type="dxa"/>
              <w:end w:w="120" w:type="dxa"/>
            </w:tcMar>
          </w:tcPr>
          <w:p>
            <w:r>
              <w:rPr>
                <w:rFonts w:ascii="Noto Sans" w:hAnsi="Noto Sans"/>
                <w:b/>
                <w:color w:val="FFFFFF"/>
                <w:sz w:val="18"/>
              </w:rPr>
              <w:t>Allocation</w:t>
            </w:r>
          </w:p>
        </w:tc>
        <w:tc>
          <w:tcPr>
            <w:tcW w:type="dxa" w:w="2498"/>
            <w:shd w:fill="17324D"/>
            <w:tcMar>
              <w:top w:w="100" w:type="dxa"/>
              <w:start w:w="120" w:type="dxa"/>
              <w:bottom w:w="100" w:type="dxa"/>
              <w:end w:w="120" w:type="dxa"/>
            </w:tcMar>
          </w:tcPr>
          <w:p>
            <w:r>
              <w:rPr>
                <w:rFonts w:ascii="Noto Sans" w:hAnsi="Noto Sans"/>
                <w:b/>
                <w:color w:val="FFFFFF"/>
                <w:sz w:val="18"/>
              </w:rPr>
              <w:t>Per week</w:t>
            </w:r>
          </w:p>
        </w:tc>
        <w:tc>
          <w:tcPr>
            <w:tcW w:type="dxa" w:w="2498"/>
            <w:shd w:fill="17324D"/>
            <w:tcMar>
              <w:top w:w="100" w:type="dxa"/>
              <w:start w:w="120" w:type="dxa"/>
              <w:bottom w:w="100" w:type="dxa"/>
              <w:end w:w="120" w:type="dxa"/>
            </w:tcMar>
          </w:tcPr>
          <w:p>
            <w:r>
              <w:rPr>
                <w:rFonts w:ascii="Noto Sans" w:hAnsi="Noto Sans"/>
                <w:b/>
                <w:color w:val="FFFFFF"/>
                <w:sz w:val="18"/>
              </w:rPr>
              <w:t>6 weeks</w:t>
            </w:r>
          </w:p>
        </w:tc>
        <w:tc>
          <w:tcPr>
            <w:tcW w:type="dxa" w:w="2498"/>
            <w:shd w:fill="17324D"/>
            <w:tcMar>
              <w:top w:w="100" w:type="dxa"/>
              <w:start w:w="120" w:type="dxa"/>
              <w:bottom w:w="100" w:type="dxa"/>
              <w:end w:w="120" w:type="dxa"/>
            </w:tcMar>
          </w:tcPr>
          <w:p>
            <w:r>
              <w:rPr>
                <w:rFonts w:ascii="Noto Sans" w:hAnsi="Noto Sans"/>
                <w:b/>
                <w:color w:val="FFFFFF"/>
                <w:sz w:val="18"/>
              </w:rPr>
              <w:t>8 weeks</w:t>
            </w:r>
          </w:p>
        </w:tc>
      </w:tr>
      <w:tr>
        <w:tc>
          <w:tcPr>
            <w:tcW w:type="dxa" w:w="2498"/>
            <w:tcMar>
              <w:top w:w="100" w:type="dxa"/>
              <w:start w:w="120" w:type="dxa"/>
              <w:bottom w:w="100" w:type="dxa"/>
              <w:end w:w="120" w:type="dxa"/>
            </w:tcMar>
          </w:tcPr>
          <w:p>
            <w:r>
              <w:rPr>
                <w:rFonts w:ascii="Noto Sans" w:hAnsi="Noto Sans"/>
                <w:color w:val="1B1F23"/>
                <w:sz w:val="18"/>
              </w:rPr>
              <w:t>Matthew Raymer — Lead Developer</w:t>
            </w:r>
          </w:p>
        </w:tc>
        <w:tc>
          <w:tcPr>
            <w:tcW w:type="dxa" w:w="2498"/>
            <w:tcMar>
              <w:top w:w="100" w:type="dxa"/>
              <w:start w:w="120" w:type="dxa"/>
              <w:bottom w:w="100" w:type="dxa"/>
              <w:end w:w="120" w:type="dxa"/>
            </w:tcMar>
          </w:tcPr>
          <w:p>
            <w:r>
              <w:rPr>
                <w:rFonts w:ascii="Noto Sans" w:hAnsi="Noto Sans"/>
                <w:color w:val="1B1F23"/>
                <w:sz w:val="18"/>
              </w:rPr>
              <w:t>$1,600</w:t>
            </w:r>
          </w:p>
        </w:tc>
        <w:tc>
          <w:tcPr>
            <w:tcW w:type="dxa" w:w="2498"/>
            <w:tcMar>
              <w:top w:w="100" w:type="dxa"/>
              <w:start w:w="120" w:type="dxa"/>
              <w:bottom w:w="100" w:type="dxa"/>
              <w:end w:w="120" w:type="dxa"/>
            </w:tcMar>
          </w:tcPr>
          <w:p>
            <w:r>
              <w:rPr>
                <w:rFonts w:ascii="Noto Sans" w:hAnsi="Noto Sans"/>
                <w:color w:val="1B1F23"/>
                <w:sz w:val="18"/>
              </w:rPr>
              <w:t>$9,600</w:t>
            </w:r>
          </w:p>
        </w:tc>
        <w:tc>
          <w:tcPr>
            <w:tcW w:type="dxa" w:w="2498"/>
            <w:tcMar>
              <w:top w:w="100" w:type="dxa"/>
              <w:start w:w="120" w:type="dxa"/>
              <w:bottom w:w="100" w:type="dxa"/>
              <w:end w:w="120" w:type="dxa"/>
            </w:tcMar>
          </w:tcPr>
          <w:p>
            <w:r>
              <w:rPr>
                <w:rFonts w:ascii="Noto Sans" w:hAnsi="Noto Sans"/>
                <w:color w:val="1B1F23"/>
                <w:sz w:val="18"/>
              </w:rPr>
              <w:t>$12,800</w:t>
            </w:r>
          </w:p>
        </w:tc>
      </w:tr>
      <w:tr>
        <w:tc>
          <w:tcPr>
            <w:tcW w:type="dxa" w:w="2498"/>
            <w:tcMar>
              <w:top w:w="100" w:type="dxa"/>
              <w:start w:w="120" w:type="dxa"/>
              <w:bottom w:w="100" w:type="dxa"/>
              <w:end w:w="120" w:type="dxa"/>
            </w:tcMar>
            <w:shd w:fill="F4F7F8"/>
          </w:tcPr>
          <w:p>
            <w:r>
              <w:rPr>
                <w:rFonts w:ascii="Noto Sans" w:hAnsi="Noto Sans"/>
                <w:color w:val="1B1F23"/>
                <w:sz w:val="18"/>
              </w:rPr>
              <w:t>Second Developer</w:t>
            </w:r>
          </w:p>
        </w:tc>
        <w:tc>
          <w:tcPr>
            <w:tcW w:type="dxa" w:w="2498"/>
            <w:tcMar>
              <w:top w:w="100" w:type="dxa"/>
              <w:start w:w="120" w:type="dxa"/>
              <w:bottom w:w="100" w:type="dxa"/>
              <w:end w:w="120" w:type="dxa"/>
            </w:tcMar>
            <w:shd w:fill="F4F7F8"/>
          </w:tcPr>
          <w:p>
            <w:r>
              <w:rPr>
                <w:rFonts w:ascii="Noto Sans" w:hAnsi="Noto Sans"/>
                <w:color w:val="1B1F23"/>
                <w:sz w:val="18"/>
              </w:rPr>
              <w:t>$800</w:t>
            </w:r>
          </w:p>
        </w:tc>
        <w:tc>
          <w:tcPr>
            <w:tcW w:type="dxa" w:w="2498"/>
            <w:tcMar>
              <w:top w:w="100" w:type="dxa"/>
              <w:start w:w="120" w:type="dxa"/>
              <w:bottom w:w="100" w:type="dxa"/>
              <w:end w:w="120" w:type="dxa"/>
            </w:tcMar>
            <w:shd w:fill="F4F7F8"/>
          </w:tcPr>
          <w:p>
            <w:r>
              <w:rPr>
                <w:rFonts w:ascii="Noto Sans" w:hAnsi="Noto Sans"/>
                <w:color w:val="1B1F23"/>
                <w:sz w:val="18"/>
              </w:rPr>
              <w:t>$4,800</w:t>
            </w:r>
          </w:p>
        </w:tc>
        <w:tc>
          <w:tcPr>
            <w:tcW w:type="dxa" w:w="2498"/>
            <w:tcMar>
              <w:top w:w="100" w:type="dxa"/>
              <w:start w:w="120" w:type="dxa"/>
              <w:bottom w:w="100" w:type="dxa"/>
              <w:end w:w="120" w:type="dxa"/>
            </w:tcMar>
            <w:shd w:fill="F4F7F8"/>
          </w:tcPr>
          <w:p>
            <w:r>
              <w:rPr>
                <w:rFonts w:ascii="Noto Sans" w:hAnsi="Noto Sans"/>
                <w:color w:val="1B1F23"/>
                <w:sz w:val="18"/>
              </w:rPr>
              <w:t>$6,400</w:t>
            </w:r>
          </w:p>
        </w:tc>
      </w:tr>
      <w:tr>
        <w:tc>
          <w:tcPr>
            <w:tcW w:type="dxa" w:w="2498"/>
            <w:tcMar>
              <w:top w:w="100" w:type="dxa"/>
              <w:start w:w="120" w:type="dxa"/>
              <w:bottom w:w="100" w:type="dxa"/>
              <w:end w:w="120" w:type="dxa"/>
            </w:tcMar>
          </w:tcPr>
          <w:p>
            <w:r>
              <w:rPr>
                <w:rFonts w:ascii="Noto Sans" w:hAnsi="Noto Sans"/>
                <w:color w:val="1B1F23"/>
                <w:sz w:val="18"/>
              </w:rPr>
              <w:t>Support, infrastructure and operations</w:t>
            </w:r>
          </w:p>
        </w:tc>
        <w:tc>
          <w:tcPr>
            <w:tcW w:type="dxa" w:w="2498"/>
            <w:tcMar>
              <w:top w:w="100" w:type="dxa"/>
              <w:start w:w="120" w:type="dxa"/>
              <w:bottom w:w="100" w:type="dxa"/>
              <w:end w:w="120" w:type="dxa"/>
            </w:tcMar>
          </w:tcPr>
          <w:p>
            <w:r>
              <w:rPr>
                <w:rFonts w:ascii="Noto Sans" w:hAnsi="Noto Sans"/>
                <w:color w:val="1B1F23"/>
                <w:sz w:val="18"/>
              </w:rPr>
              <w:t>$600</w:t>
            </w:r>
          </w:p>
        </w:tc>
        <w:tc>
          <w:tcPr>
            <w:tcW w:type="dxa" w:w="2498"/>
            <w:tcMar>
              <w:top w:w="100" w:type="dxa"/>
              <w:start w:w="120" w:type="dxa"/>
              <w:bottom w:w="100" w:type="dxa"/>
              <w:end w:w="120" w:type="dxa"/>
            </w:tcMar>
          </w:tcPr>
          <w:p>
            <w:r>
              <w:rPr>
                <w:rFonts w:ascii="Noto Sans" w:hAnsi="Noto Sans"/>
                <w:color w:val="1B1F23"/>
                <w:sz w:val="18"/>
              </w:rPr>
              <w:t>$3,600</w:t>
            </w:r>
          </w:p>
        </w:tc>
        <w:tc>
          <w:tcPr>
            <w:tcW w:type="dxa" w:w="2498"/>
            <w:tcMar>
              <w:top w:w="100" w:type="dxa"/>
              <w:start w:w="120" w:type="dxa"/>
              <w:bottom w:w="100" w:type="dxa"/>
              <w:end w:w="120" w:type="dxa"/>
            </w:tcMar>
          </w:tcPr>
          <w:p>
            <w:r>
              <w:rPr>
                <w:rFonts w:ascii="Noto Sans" w:hAnsi="Noto Sans"/>
                <w:color w:val="1B1F23"/>
                <w:sz w:val="18"/>
              </w:rPr>
              <w:t>$4,800</w:t>
            </w:r>
          </w:p>
        </w:tc>
      </w:tr>
    </w:tbl>
    <w:p>
      <w:pPr>
        <w:pStyle w:val="Heading1"/>
        <w:spacing w:before="240" w:after="100"/>
      </w:pPr>
      <w:r>
        <w:rPr>
          <w:rFonts w:ascii="Noto Sans" w:hAnsi="Noto Sans"/>
          <w:b/>
          <w:color w:val="17324D"/>
          <w:sz w:val="32"/>
        </w:rPr>
        <w:t>What the Tranche Is Intended to Produce</w:t>
      </w:r>
    </w:p>
    <w:p>
      <w:pPr>
        <w:pStyle w:val="ListBullet"/>
        <w:spacing w:after="60" w:line="259" w:lineRule="auto"/>
      </w:pPr>
      <w:r>
        <w:rPr>
          <w:rFonts w:ascii="Noto Sans" w:hAnsi="Noto Sans"/>
          <w:color w:val="1B1F23"/>
          <w:sz w:val="20"/>
        </w:rPr>
        <w:t>Hardened Base-Layer contracts and schemas for the remaining bounded questions.</w:t>
      </w:r>
    </w:p>
    <w:p>
      <w:pPr>
        <w:pStyle w:val="ListBullet"/>
        <w:spacing w:after="60" w:line="259" w:lineRule="auto"/>
      </w:pPr>
      <w:r>
        <w:rPr>
          <w:rFonts w:ascii="Noto Sans" w:hAnsi="Noto Sans"/>
          <w:color w:val="1B1F23"/>
          <w:sz w:val="20"/>
        </w:rPr>
        <w:t>Executable conformance, adversarial, destructive, migration, and replacement tests.</w:t>
      </w:r>
    </w:p>
    <w:p>
      <w:pPr>
        <w:pStyle w:val="ListBullet"/>
        <w:spacing w:after="60" w:line="259" w:lineRule="auto"/>
      </w:pPr>
      <w:r>
        <w:rPr>
          <w:rFonts w:ascii="Noto Sans" w:hAnsi="Noto Sans"/>
          <w:color w:val="1B1F23"/>
          <w:sz w:val="20"/>
        </w:rPr>
        <w:t>At least two materially different implementation profiles where implementation diversity meaningfully tests the contract.</w:t>
      </w:r>
    </w:p>
    <w:p>
      <w:pPr>
        <w:pStyle w:val="ListBullet"/>
        <w:spacing w:after="60" w:line="259" w:lineRule="auto"/>
      </w:pPr>
      <w:r>
        <w:rPr>
          <w:rFonts w:ascii="Noto Sans" w:hAnsi="Noto Sans"/>
          <w:color w:val="1B1F23"/>
          <w:sz w:val="20"/>
        </w:rPr>
        <w:t>An integrated reference path across observation, identity, replication, recovery, coverage, placement, diversity, and attack-relevant evidence.</w:t>
      </w:r>
    </w:p>
    <w:p>
      <w:pPr>
        <w:pStyle w:val="ListBullet"/>
        <w:spacing w:after="60" w:line="259" w:lineRule="auto"/>
      </w:pPr>
      <w:r>
        <w:rPr>
          <w:rFonts w:ascii="Noto Sans" w:hAnsi="Noto Sans"/>
          <w:color w:val="1B1F23"/>
          <w:sz w:val="20"/>
        </w:rPr>
        <w:t>Independent-implementer documentation and a tranche-end evidence package recording passes, failures, changed assumptions, and unresolved questions.</w:t>
      </w:r>
    </w:p>
    <w:p>
      <w:pPr>
        <w:pStyle w:val="Heading1"/>
        <w:spacing w:before="240" w:after="100"/>
      </w:pPr>
      <w:r>
        <w:rPr>
          <w:rFonts w:ascii="Noto Sans" w:hAnsi="Noto Sans"/>
          <w:b/>
          <w:color w:val="17324D"/>
          <w:sz w:val="32"/>
        </w:rPr>
        <w:t>Six-Week Stopping Point</w:t>
      </w:r>
    </w:p>
    <w:p>
      <w:pPr>
        <w:spacing w:before="0" w:after="120" w:line="269" w:lineRule="auto"/>
      </w:pPr>
      <w:r>
        <w:rPr>
          <w:rFonts w:ascii="Noto Sans" w:hAnsi="Noto Sans"/>
          <w:b w:val="0"/>
          <w:i w:val="0"/>
          <w:color w:val="1B1F23"/>
          <w:sz w:val="21"/>
        </w:rPr>
        <w:t>The six-week tranche is designed to stand on its own. It is not the first six weeks of an assumed longer engagement. If no further funding follows, the project should still leave a coherent repository and evidence state containing the contracts, implementations, tests, documentation, known failures, and explicitly unresolved questions produced during the run.</w:t>
      </w:r>
    </w:p>
    <w:p>
      <w:pPr>
        <w:pStyle w:val="Heading1"/>
        <w:spacing w:before="240" w:after="100"/>
      </w:pPr>
      <w:r>
        <w:rPr>
          <w:rFonts w:ascii="Noto Sans" w:hAnsi="Noto Sans"/>
          <w:b/>
          <w:color w:val="17324D"/>
          <w:sz w:val="32"/>
        </w:rPr>
        <w:t>Continuous Public Accountability</w:t>
      </w:r>
    </w:p>
    <w:p>
      <w:pPr>
        <w:spacing w:before="0" w:after="120" w:line="269" w:lineRule="auto"/>
      </w:pPr>
      <w:r>
        <w:rPr>
          <w:rFonts w:ascii="Noto Sans" w:hAnsi="Noto Sans"/>
          <w:b w:val="0"/>
          <w:i w:val="0"/>
          <w:color w:val="1B1F23"/>
          <w:sz w:val="21"/>
        </w:rPr>
        <w:t>The tranche has no refund provision. The accountability model is continuous visibility rather than retrospective refund rights.</w:t>
      </w:r>
    </w:p>
    <w:p>
      <w:pPr>
        <w:spacing w:before="0" w:after="120" w:line="269" w:lineRule="auto"/>
      </w:pPr>
      <w:r>
        <w:rPr>
          <w:rFonts w:ascii="Noto Sans" w:hAnsi="Noto Sans"/>
          <w:b w:val="0"/>
          <w:i w:val="0"/>
          <w:color w:val="1B1F23"/>
          <w:sz w:val="20"/>
        </w:rPr>
        <w:t>The public tranche repository for the funded work is https://gitea.anomalistdesign.com/dsearch/tranche1. It is the committed public publication endpoint for the tranche and will be identified as such in the funding agreement.</w:t>
      </w:r>
    </w:p>
    <w:p>
      <w:pPr>
        <w:pStyle w:val="ListBullet"/>
        <w:spacing w:after="60" w:line="259" w:lineRule="auto"/>
      </w:pPr>
      <w:r>
        <w:rPr>
          <w:rFonts w:ascii="Noto Sans" w:hAnsi="Noto Sans"/>
          <w:color w:val="1B1F23"/>
          <w:sz w:val="20"/>
        </w:rPr>
        <w:t>Daily working-cadence progress records when substantive project work occurs.</w:t>
      </w:r>
    </w:p>
    <w:p>
      <w:pPr>
        <w:pStyle w:val="ListBullet"/>
        <w:spacing w:after="60" w:line="259" w:lineRule="auto"/>
      </w:pPr>
      <w:r>
        <w:rPr>
          <w:rFonts w:ascii="Noto Sans" w:hAnsi="Noto Sans"/>
          <w:color w:val="1B1F23"/>
          <w:sz w:val="20"/>
        </w:rPr>
        <w:t>Source changes, commit history, research and architecture artifacts, contract and schema revisions.</w:t>
      </w:r>
    </w:p>
    <w:p>
      <w:pPr>
        <w:pStyle w:val="ListBullet"/>
        <w:spacing w:after="60" w:line="259" w:lineRule="auto"/>
      </w:pPr>
      <w:r>
        <w:rPr>
          <w:rFonts w:ascii="Noto Sans" w:hAnsi="Noto Sans"/>
          <w:color w:val="1B1F23"/>
          <w:sz w:val="20"/>
        </w:rPr>
        <w:t>Conformance and adversarial test results, evidence packages, manifests, known failures, and unresolved questions.</w:t>
      </w:r>
    </w:p>
    <w:p>
      <w:pPr>
        <w:pStyle w:val="ListBullet"/>
        <w:spacing w:after="60" w:line="259" w:lineRule="auto"/>
      </w:pPr>
      <w:r>
        <w:rPr>
          <w:rFonts w:ascii="Noto Sans" w:hAnsi="Noto Sans"/>
          <w:color w:val="1B1F23"/>
          <w:sz w:val="20"/>
        </w:rPr>
        <w:t>Records sufficient to identify and review material AI-assisted research, architecture, implementation, analysis, and adjudication.</w:t>
      </w:r>
    </w:p>
    <w:p>
      <w:pPr>
        <w:spacing w:before="0" w:after="120" w:line="269" w:lineRule="auto"/>
      </w:pPr>
      <w:r>
        <w:rPr>
          <w:rFonts w:ascii="Noto Sans" w:hAnsi="Noto Sans"/>
          <w:b w:val="0"/>
          <w:i w:val="0"/>
          <w:color w:val="1B1F23"/>
          <w:sz w:val="21"/>
        </w:rPr>
        <w:t>Continuous visibility allows the funder to inspect whether the agreed tranche is actually being executed. It does not create a rolling technical-approval process. Technical claims remain governed by evidence, testing, conformance, and the stated acceptance criteria.</w:t>
      </w:r>
    </w:p>
    <w:p>
      <w:pPr>
        <w:pStyle w:val="Heading1"/>
        <w:spacing w:before="240" w:after="100"/>
      </w:pPr>
      <w:r>
        <w:rPr>
          <w:rFonts w:ascii="Noto Sans" w:hAnsi="Noto Sans"/>
          <w:b/>
          <w:color w:val="17324D"/>
          <w:sz w:val="32"/>
        </w:rPr>
        <w:t>Contracting, Licensing, and Authority</w:t>
      </w:r>
    </w:p>
    <w:p>
      <w:pPr>
        <w:pStyle w:val="ListBullet"/>
        <w:spacing w:after="60" w:line="259" w:lineRule="auto"/>
      </w:pPr>
      <w:r>
        <w:rPr>
          <w:rFonts w:ascii="Noto Sans" w:hAnsi="Noto Sans"/>
          <w:color w:val="1B1F23"/>
          <w:sz w:val="20"/>
        </w:rPr>
        <w:t>Anomalist Design LLC is the contracting entity, payment recipient, project administrator, and contractual point of accountability.</w:t>
      </w:r>
    </w:p>
    <w:p>
      <w:pPr>
        <w:pStyle w:val="ListBullet"/>
        <w:spacing w:after="60" w:line="259" w:lineRule="auto"/>
      </w:pPr>
      <w:r>
        <w:rPr>
          <w:rFonts w:ascii="Noto Sans" w:hAnsi="Noto Sans"/>
          <w:color w:val="1B1F23"/>
          <w:sz w:val="20"/>
        </w:rPr>
        <w:t>The funded tranche is prepaid and non-refundable.</w:t>
      </w:r>
    </w:p>
    <w:p>
      <w:pPr>
        <w:pStyle w:val="ListBullet"/>
        <w:spacing w:after="60" w:line="259" w:lineRule="auto"/>
      </w:pPr>
      <w:r>
        <w:rPr>
          <w:rFonts w:ascii="Noto Sans" w:hAnsi="Noto Sans"/>
          <w:color w:val="1B1F23"/>
          <w:sz w:val="20"/>
        </w:rPr>
        <w:t>The public tranche repository is https://gitea.anomalistdesign.com/dsearch/tranche1. The remaining item to be finalized before execution of the funding agreement is the open-license combination.</w:t>
      </w:r>
    </w:p>
    <w:p>
      <w:pPr>
        <w:pStyle w:val="ListBullet"/>
        <w:spacing w:after="60" w:line="259" w:lineRule="auto"/>
      </w:pPr>
      <w:r>
        <w:rPr>
          <w:rFonts w:ascii="Noto Sans" w:hAnsi="Noto Sans"/>
          <w:color w:val="1B1F23"/>
          <w:sz w:val="20"/>
        </w:rPr>
        <w:t>Apache License 2.0 is under consideration for software, executable conformance tooling, schemas, and related implementation material; the license for specifications and documentation will be settled at the same time.</w:t>
      </w:r>
    </w:p>
    <w:p>
      <w:pPr>
        <w:pStyle w:val="ListBullet"/>
        <w:spacing w:after="60" w:line="259" w:lineRule="auto"/>
      </w:pPr>
      <w:r>
        <w:rPr>
          <w:rFonts w:ascii="Noto Sans" w:hAnsi="Noto Sans"/>
          <w:color w:val="1B1F23"/>
          <w:sz w:val="20"/>
        </w:rPr>
        <w:t>Funding does not convey protocol authority, truth authority, ranking authority, or permanent dependence of the Base Layer on the funder or Anomalist Design LLC.</w:t>
      </w:r>
    </w:p>
    <w:p>
      <w:pPr>
        <w:pStyle w:val="ListBullet"/>
        <w:spacing w:after="60" w:line="259" w:lineRule="auto"/>
      </w:pPr>
      <w:r>
        <w:rPr>
          <w:rFonts w:ascii="Noto Sans" w:hAnsi="Noto Sans"/>
          <w:color w:val="1B1F23"/>
          <w:sz w:val="20"/>
        </w:rPr>
        <w:t>There is no automatic continuation. Any later tranche requires a new affirmative funding decision.</w:t>
      </w:r>
    </w:p>
    <w:p>
      <w:pPr>
        <w:pStyle w:val="Heading1"/>
        <w:spacing w:before="240" w:after="100"/>
      </w:pPr>
      <w:r>
        <w:rPr>
          <w:rFonts w:ascii="Noto Sans" w:hAnsi="Noto Sans"/>
          <w:b/>
          <w:color w:val="17324D"/>
          <w:sz w:val="32"/>
        </w:rPr>
        <w:t>Funder Acknowledgment</w:t>
      </w:r>
    </w:p>
    <w:tbl>
      <w:tblPr>
        <w:tblW w:type="auto" w:w="0"/>
        <w:jc w:val="center"/>
        <w:tblLook w:firstColumn="1" w:firstRow="1" w:lastColumn="0" w:lastRow="0" w:noHBand="0" w:noVBand="1" w:val="04A0"/>
      </w:tblPr>
      <w:tblGrid>
        <w:gridCol w:w="9994"/>
      </w:tblGrid>
      <w:tr>
        <w:tc>
          <w:tcPr>
            <w:tcW w:type="dxa" w:w="9994"/>
            <w:shd w:fill="FFF6E8"/>
            <w:tcMar>
              <w:top w:w="140" w:type="dxa"/>
              <w:start w:w="180" w:type="dxa"/>
              <w:bottom w:w="140" w:type="dxa"/>
              <w:end w:w="180" w:type="dxa"/>
            </w:tcMar>
            <w:tcBorders>
              <w:top w:val="single" w:sz="6" w:color="B27A1E"/>
              <w:bottom w:val="single" w:sz="6" w:color="B27A1E"/>
              <w:start w:val="single" w:sz="6" w:color="B27A1E"/>
              <w:end w:val="single" w:sz="6" w:color="B27A1E"/>
            </w:tcBorders>
          </w:tcPr>
          <w:p>
            <w:pPr>
              <w:spacing w:before="0" w:after="80" w:line="269" w:lineRule="auto"/>
            </w:pPr>
            <w:r>
              <w:rPr>
                <w:rFonts w:ascii="Noto Sans" w:hAnsi="Noto Sans"/>
                <w:b/>
                <w:color w:val="17324D"/>
                <w:sz w:val="21"/>
              </w:rPr>
              <w:t>ACKNOWLEDGMENT OF TECHNICAL SCOPE AND PAYMENT TERMS</w:t>
            </w:r>
          </w:p>
          <w:p>
            <w:pPr>
              <w:spacing w:before="0" w:after="0" w:line="259" w:lineRule="auto"/>
            </w:pPr>
            <w:r>
              <w:rPr>
                <w:rFonts w:ascii="Noto Sans" w:hAnsi="Noto Sans"/>
                <w:color w:val="1B1F23"/>
                <w:sz w:val="19"/>
              </w:rPr>
              <w:t>Before signing, the funder should read the accompanying DSEARCH Technical Description in full. By signing the funding agreement, the funder acknowledges that the Technical Description defines the technical program being funded; that the tranche is funded in advance and has no refund provision; that continuous publication provides transparency rather than a rolling technical veto; that technical failures may be legitimate outputs when preserved as reproducible evidence; and that funding does not confer protocol authority. If these terms or the technical program are not understood or accepted, the funding agreement should not be signed.</w:t>
            </w:r>
          </w:p>
        </w:tc>
      </w:tr>
    </w:tbl>
    <w:p>
      <w:pPr>
        <w:spacing w:after="20"/>
      </w:pPr>
    </w:p>
    <w:p>
      <w:pPr>
        <w:spacing w:before="0" w:after="120" w:line="269" w:lineRule="auto"/>
      </w:pPr>
      <w:r>
        <w:rPr>
          <w:rFonts w:ascii="Noto Sans" w:hAnsi="Noto Sans"/>
          <w:b w:val="0"/>
          <w:i/>
          <w:color w:val="5D6770"/>
          <w:sz w:val="19"/>
        </w:rPr>
        <w:t>The executed funding agreement should incorporate or expressly reference both this Summary and the DSEARCH Technical Description.</w:t>
      </w:r>
    </w:p>
    <w:p>
      <w:r>
        <w:rPr>
          <w:b/>
          <w:sz w:val="18"/>
        </w:rPr>
        <w:t>Document precedence: the executed funding agreement governs commercial and legal terms. If the Summary or promotional deck conflicts with the Technical Description on technical scope, the Technical Description governs.</w:t>
      </w:r>
    </w:p>
    <w:p>
      <w:pPr>
        <w:pStyle w:val="Heading1"/>
        <w:spacing w:before="240" w:after="100"/>
      </w:pPr>
      <w:r>
        <w:rPr>
          <w:rFonts w:ascii="Noto Sans" w:hAnsi="Noto Sans"/>
          <w:b/>
          <w:color w:val="17324D"/>
          <w:sz w:val="32"/>
        </w:rPr>
        <w:t>Signature / Funding Agreement Reference</w:t>
      </w:r>
    </w:p>
    <w:tbl>
      <w:tblPr>
        <w:tblW w:type="auto" w:w="0"/>
        <w:jc w:val="center"/>
        <w:tblLook w:firstColumn="1" w:firstRow="1" w:lastColumn="0" w:lastRow="0" w:noHBand="0" w:noVBand="1" w:val="04A0"/>
      </w:tblPr>
      <w:tblGrid>
        <w:gridCol w:w="4997"/>
        <w:gridCol w:w="4997"/>
      </w:tblGrid>
      <w:tr>
        <w:tc>
          <w:tcPr>
            <w:tcW w:type="dxa" w:w="4997"/>
            <w:tcMar>
              <w:top w:w="120" w:type="dxa"/>
              <w:start w:w="120" w:type="dxa"/>
              <w:bottom w:w="220" w:type="dxa"/>
              <w:end w:w="120" w:type="dxa"/>
            </w:tcMar>
          </w:tcPr>
          <w:p>
            <w:r>
              <w:rPr>
                <w:rFonts w:ascii="Noto Sans" w:hAnsi="Noto Sans"/>
                <w:b/>
                <w:color w:val="5D6770"/>
                <w:sz w:val="17"/>
              </w:rPr>
              <w:t>Funder / Organization:</w:t>
            </w:r>
          </w:p>
          <w:p>
            <w:pPr>
              <w:spacing w:after="0"/>
            </w:pPr>
            <w:r>
              <w:rPr>
                <w:rFonts w:ascii="Noto Sans" w:hAnsi="Noto Sans"/>
                <w:color w:val="1B1F23"/>
                <w:sz w:val="18"/>
              </w:rPr>
              <w:t>________________________________</w:t>
            </w:r>
          </w:p>
        </w:tc>
        <w:tc>
          <w:tcPr>
            <w:tcW w:type="dxa" w:w="4997"/>
            <w:tcMar>
              <w:top w:w="120" w:type="dxa"/>
              <w:start w:w="120" w:type="dxa"/>
              <w:bottom w:w="220" w:type="dxa"/>
              <w:end w:w="120" w:type="dxa"/>
            </w:tcMar>
          </w:tcPr>
          <w:p>
            <w:r>
              <w:rPr>
                <w:rFonts w:ascii="Noto Sans" w:hAnsi="Noto Sans"/>
                <w:b/>
                <w:color w:val="5D6770"/>
                <w:sz w:val="17"/>
              </w:rPr>
              <w:t>Anomalist Design LLC:</w:t>
            </w:r>
          </w:p>
          <w:p>
            <w:pPr>
              <w:spacing w:after="0"/>
            </w:pPr>
            <w:r>
              <w:rPr>
                <w:rFonts w:ascii="Noto Sans" w:hAnsi="Noto Sans"/>
                <w:color w:val="1B1F23"/>
                <w:sz w:val="18"/>
              </w:rPr>
              <w:t>________________________________</w:t>
            </w:r>
          </w:p>
        </w:tc>
      </w:tr>
      <w:tr>
        <w:tc>
          <w:tcPr>
            <w:tcW w:type="dxa" w:w="4997"/>
            <w:tcMar>
              <w:top w:w="120" w:type="dxa"/>
              <w:start w:w="120" w:type="dxa"/>
              <w:bottom w:w="220" w:type="dxa"/>
              <w:end w:w="120" w:type="dxa"/>
            </w:tcMar>
          </w:tcPr>
          <w:p>
            <w:r>
              <w:rPr>
                <w:rFonts w:ascii="Noto Sans" w:hAnsi="Noto Sans"/>
                <w:b/>
                <w:color w:val="5D6770"/>
                <w:sz w:val="17"/>
              </w:rPr>
              <w:t>Name / Authorized Signatory:</w:t>
            </w:r>
          </w:p>
          <w:p>
            <w:pPr>
              <w:spacing w:after="0"/>
            </w:pPr>
            <w:r>
              <w:rPr>
                <w:rFonts w:ascii="Noto Sans" w:hAnsi="Noto Sans"/>
                <w:color w:val="1B1F23"/>
                <w:sz w:val="18"/>
              </w:rPr>
              <w:t>________________________________</w:t>
            </w:r>
          </w:p>
        </w:tc>
        <w:tc>
          <w:tcPr>
            <w:tcW w:type="dxa" w:w="4997"/>
            <w:tcMar>
              <w:top w:w="120" w:type="dxa"/>
              <w:start w:w="120" w:type="dxa"/>
              <w:bottom w:w="220" w:type="dxa"/>
              <w:end w:w="120" w:type="dxa"/>
            </w:tcMar>
          </w:tcPr>
          <w:p>
            <w:r>
              <w:rPr>
                <w:rFonts w:ascii="Noto Sans" w:hAnsi="Noto Sans"/>
                <w:b/>
                <w:color w:val="5D6770"/>
                <w:sz w:val="17"/>
              </w:rPr>
              <w:t>Matthew Raymer / Authorized Signatory:</w:t>
            </w:r>
          </w:p>
          <w:p>
            <w:pPr>
              <w:spacing w:after="0"/>
            </w:pPr>
            <w:r>
              <w:rPr>
                <w:rFonts w:ascii="Noto Sans" w:hAnsi="Noto Sans"/>
                <w:color w:val="1B1F23"/>
                <w:sz w:val="18"/>
              </w:rPr>
              <w:t>________________________________</w:t>
            </w:r>
          </w:p>
        </w:tc>
      </w:tr>
      <w:tr>
        <w:tc>
          <w:tcPr>
            <w:tcW w:type="dxa" w:w="4997"/>
            <w:tcMar>
              <w:top w:w="120" w:type="dxa"/>
              <w:start w:w="120" w:type="dxa"/>
              <w:bottom w:w="220" w:type="dxa"/>
              <w:end w:w="120" w:type="dxa"/>
            </w:tcMar>
          </w:tcPr>
          <w:p>
            <w:r>
              <w:rPr>
                <w:rFonts w:ascii="Noto Sans" w:hAnsi="Noto Sans"/>
                <w:b/>
                <w:color w:val="5D6770"/>
                <w:sz w:val="17"/>
              </w:rPr>
              <w:t>Signature:</w:t>
            </w:r>
          </w:p>
          <w:p>
            <w:pPr>
              <w:spacing w:after="0"/>
            </w:pPr>
            <w:r>
              <w:rPr>
                <w:rFonts w:ascii="Noto Sans" w:hAnsi="Noto Sans"/>
                <w:color w:val="1B1F23"/>
                <w:sz w:val="18"/>
              </w:rPr>
              <w:t>________________________________</w:t>
            </w:r>
          </w:p>
        </w:tc>
        <w:tc>
          <w:tcPr>
            <w:tcW w:type="dxa" w:w="4997"/>
            <w:tcMar>
              <w:top w:w="120" w:type="dxa"/>
              <w:start w:w="120" w:type="dxa"/>
              <w:bottom w:w="220" w:type="dxa"/>
              <w:end w:w="120" w:type="dxa"/>
            </w:tcMar>
          </w:tcPr>
          <w:p>
            <w:r>
              <w:rPr>
                <w:rFonts w:ascii="Noto Sans" w:hAnsi="Noto Sans"/>
                <w:b/>
                <w:color w:val="5D6770"/>
                <w:sz w:val="17"/>
              </w:rPr>
              <w:t>Signature:</w:t>
            </w:r>
          </w:p>
          <w:p>
            <w:pPr>
              <w:spacing w:after="0"/>
            </w:pPr>
            <w:r>
              <w:rPr>
                <w:rFonts w:ascii="Noto Sans" w:hAnsi="Noto Sans"/>
                <w:color w:val="1B1F23"/>
                <w:sz w:val="18"/>
              </w:rPr>
              <w:t>________________________________</w:t>
            </w:r>
          </w:p>
        </w:tc>
      </w:tr>
      <w:tr>
        <w:tc>
          <w:tcPr>
            <w:tcW w:type="dxa" w:w="4997"/>
            <w:tcMar>
              <w:top w:w="120" w:type="dxa"/>
              <w:start w:w="120" w:type="dxa"/>
              <w:bottom w:w="220" w:type="dxa"/>
              <w:end w:w="120" w:type="dxa"/>
            </w:tcMar>
          </w:tcPr>
          <w:p>
            <w:r>
              <w:rPr>
                <w:rFonts w:ascii="Noto Sans" w:hAnsi="Noto Sans"/>
                <w:b/>
                <w:color w:val="5D6770"/>
                <w:sz w:val="17"/>
              </w:rPr>
              <w:t>Date:</w:t>
            </w:r>
          </w:p>
          <w:p>
            <w:pPr>
              <w:spacing w:after="0"/>
            </w:pPr>
            <w:r>
              <w:rPr>
                <w:rFonts w:ascii="Noto Sans" w:hAnsi="Noto Sans"/>
                <w:color w:val="1B1F23"/>
                <w:sz w:val="18"/>
              </w:rPr>
              <w:t>________________________________</w:t>
            </w:r>
          </w:p>
        </w:tc>
        <w:tc>
          <w:tcPr>
            <w:tcW w:type="dxa" w:w="4997"/>
            <w:tcMar>
              <w:top w:w="120" w:type="dxa"/>
              <w:start w:w="120" w:type="dxa"/>
              <w:bottom w:w="220" w:type="dxa"/>
              <w:end w:w="120" w:type="dxa"/>
            </w:tcMar>
          </w:tcPr>
          <w:p>
            <w:r>
              <w:rPr>
                <w:rFonts w:ascii="Noto Sans" w:hAnsi="Noto Sans"/>
                <w:b/>
                <w:color w:val="5D6770"/>
                <w:sz w:val="17"/>
              </w:rPr>
              <w:t>Date:</w:t>
            </w:r>
          </w:p>
          <w:p>
            <w:pPr>
              <w:spacing w:after="0"/>
            </w:pPr>
            <w:r>
              <w:rPr>
                <w:rFonts w:ascii="Noto Sans" w:hAnsi="Noto Sans"/>
                <w:color w:val="1B1F23"/>
                <w:sz w:val="18"/>
              </w:rPr>
              <w:t>________________________________</w:t>
            </w:r>
          </w:p>
        </w:tc>
      </w:tr>
    </w:tbl>
    <w:sectPr w:rsidR="00FC693F" w:rsidRPr="0006063C" w:rsidSect="00034616">
      <w:headerReference w:type="default" r:id="rId9"/>
      <w:footerReference w:type="default" r:id="rId10"/>
      <w:pgSz w:w="12240" w:h="15840"/>
      <w:pgMar w:top="936" w:right="1123" w:bottom="936" w:left="1123"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color w:val="5D6770"/>
        <w:sz w:val="15"/>
      </w:rPr>
      <w:t>DSEARCH • Anomalist Design LLC • Funding Proposal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w:hAnsi="Noto Sans"/>
        <w:b/>
        <w:color w:val="5D6770"/>
        <w:sz w:val="16"/>
      </w:rPr>
      <w:t>DSEARCH — Funding Summary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w:hAnsi="Noto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w:hAnsi="Noto Sans"/>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w:hAnsi="Noto San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w:hAnsi="Noto Sans"/>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ans" w:hAnsi="Noto San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